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943FE" w14:textId="7246DD17"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52EECC2E" wp14:editId="239CB078">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D3D3D3">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4F6FA" id="LandscapeOverlayRight" o:spid="_x0000_s1026" alt="&quot;&quot;"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" path="m,4989l2359,,12410,r,4989l,4989xe" fillcolor="#d3d3d3"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3" behindDoc="0" locked="1" layoutInCell="1" allowOverlap="1" wp14:anchorId="00ACE198" wp14:editId="2FB7B9C1">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33AD7" id="LandscapePicRight" o:spid="_x0000_s1026" alt="&quot;&quot;" style="position:absolute;margin-left:193.05pt;margin-top:127.6pt;width:620.5pt;height:249.45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2" behindDoc="0" locked="1" layoutInCell="1" allowOverlap="1" wp14:anchorId="420F2FB6" wp14:editId="365DE4D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A3769" id="LandscapeOverlayLeft" o:spid="_x0000_s1026" alt="&quot;&quot;" style="position:absolute;margin-left:28.65pt;margin-top:127.6pt;width:163.8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" path="m924,l,,,4989r3278,l924,xe" fillcolor="#a7a7a6 [3206]"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393838" w:themeColor="text2"/>
          <w:lang w:eastAsia="en-AU"/>
        </w:rPr>
        <mc:AlternateContent>
          <mc:Choice Requires="wps">
            <w:drawing>
              <wp:anchor distT="0" distB="0" distL="114300" distR="114300" simplePos="0" relativeHeight="251658248" behindDoc="0" locked="1" layoutInCell="1" allowOverlap="1" wp14:anchorId="11413D2E" wp14:editId="4B213A77">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EB4E5" id="Multi2" o:spid="_x0000_s1026" alt="&quot;&quot;" style="position:absolute;margin-left:278.9pt;margin-top:185.35pt;width:4in;height:374.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47" behindDoc="0" locked="1" layoutInCell="1" allowOverlap="1" wp14:anchorId="1665592F" wp14:editId="54CCB4B5">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47B4D" id="Multi1" o:spid="_x0000_s1026" alt="&quot;&quot;" style="position:absolute;margin-left:28.6pt;margin-top:185.35pt;width:250.6pt;height:374.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5" behindDoc="0" locked="1" layoutInCell="1" allowOverlap="1" wp14:anchorId="42702859" wp14:editId="4C3D568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49E3A" id="TriangleBottomACIMono" o:spid="_x0000_s1026" alt="&quot;&quot;" style="position:absolute;margin-left:278.9pt;margin-top:559.55pt;width:148.8pt;height:157.05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46" behindDoc="0" locked="1" layoutInCell="1" allowOverlap="1" wp14:anchorId="25C167FF" wp14:editId="682E2E0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261D6" id="TriangleBottomSolar" o:spid="_x0000_s1026" alt="&quot;&quot;" style="position:absolute;margin-left:278.9pt;margin-top:559.55pt;width:148.8pt;height:157.0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4" behindDoc="0" locked="1" layoutInCell="1" allowOverlap="1" wp14:anchorId="53A3DA86" wp14:editId="4EA95F7F">
                <wp:simplePos x="3542030" y="7106285"/>
                <wp:positionH relativeFrom="page">
                  <wp:posOffset>3542030</wp:posOffset>
                </wp:positionH>
                <wp:positionV relativeFrom="page">
                  <wp:posOffset>7106285</wp:posOffset>
                </wp:positionV>
                <wp:extent cx="1890000" cy="1994400"/>
                <wp:effectExtent l="0" t="0" r="0" b="0"/>
                <wp:wrapNone/>
                <wp:docPr id="39" name="TriangleBottomACI"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18128" id="TriangleBottomACI" o:spid="_x0000_s1026" alt="&quot;&quot;" style="position:absolute;margin-left:278.9pt;margin-top:559.55pt;width:148.8pt;height:157.05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Aolm5SlzQC&#10;AJc0AgAUAAAAAAAAAAAAAAAAAFEFAABkcnMvbWVkaWEvaW1hZ2UxLmpwZ1BLAQItABQABgAIAAAA&#10;IQCdtx/G4AAAAA0BAAAPAAAAAAAAAAAAAAAAABo6AgBkcnMvZG93bnJldi54bWxQSwECLQAUAAYA&#10;CAAAACEAN53BGLoAAAAhAQAAGQAAAAAAAAAAAAAAAAAnOwIAZHJzL19yZWxzL2Uyb0RvYy54bWwu&#10;cmVsc1BLBQYAAAAABgAGAHwBAAAYPAI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5A2A5D" w:rsidRPr="00D55628">
        <w:rPr>
          <w:noProof/>
          <w:lang w:eastAsia="en-AU"/>
        </w:rPr>
        <mc:AlternateContent>
          <mc:Choice Requires="wps">
            <w:drawing>
              <wp:anchor distT="0" distB="0" distL="114300" distR="114300" simplePos="1" relativeHeight="251658241" behindDoc="1" locked="1" layoutInCell="1" allowOverlap="1" wp14:anchorId="52E27D5E" wp14:editId="13CA06C2">
                <wp:simplePos x="360045" y="360045"/>
                <wp:positionH relativeFrom="page">
                  <wp:posOffset>360045</wp:posOffset>
                </wp:positionH>
                <wp:positionV relativeFrom="page">
                  <wp:posOffset>360045</wp:posOffset>
                </wp:positionV>
                <wp:extent cx="6840001" cy="8744400"/>
                <wp:effectExtent l="0" t="0" r="0" b="0"/>
                <wp:wrapNone/>
                <wp:docPr id="4" name="CoverRecta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B4D1F" id="CoverRectangle" o:spid="_x0000_s1026" alt="&quot;&quot;" style="position:absolute;margin-left:28.35pt;margin-top:28.35pt;width:538.6pt;height:688.55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" fillcolor="#4f4e4e [3204]" stroked="f" strokeweight="2pt">
                <w10:wrap anchorx="page" anchory="page"/>
                <w10:anchorlock/>
              </v:rect>
            </w:pict>
          </mc:Fallback>
        </mc:AlternateContent>
      </w:r>
    </w:p>
    <w:p w14:paraId="07A25619" w14:textId="77777777" w:rsidR="00D73B6C" w:rsidRDefault="00D73B6C"/>
    <w:p w14:paraId="5339208C" w14:textId="77777777" w:rsidR="00D73B6C" w:rsidRDefault="00D73B6C"/>
    <w:tbl>
      <w:tblPr>
        <w:tblStyle w:val="TableAsPlaceholder"/>
        <w:tblpPr w:leftFromText="181" w:rightFromText="181" w:vertAnchor="page" w:horzAnchor="margin" w:tblpYSpec="center"/>
        <w:tblOverlap w:val="never"/>
        <w:tblW w:w="7370" w:type="dxa"/>
        <w:tblLayout w:type="fixed"/>
        <w:tblLook w:val="0620" w:firstRow="1" w:lastRow="0" w:firstColumn="0" w:lastColumn="0" w:noHBand="1" w:noVBand="1"/>
      </w:tblPr>
      <w:tblGrid>
        <w:gridCol w:w="7370"/>
      </w:tblGrid>
      <w:tr w:rsidR="00D620D0" w14:paraId="0E09B3C2" w14:textId="77777777" w:rsidTr="7E74AF0E">
        <w:trPr>
          <w:trHeight w:hRule="exact" w:val="2948"/>
        </w:trPr>
        <w:tc>
          <w:tcPr>
            <w:tcW w:w="7370" w:type="dxa"/>
            <w:vAlign w:val="center"/>
          </w:tcPr>
          <w:p w14:paraId="4E502B49" w14:textId="6BF29711" w:rsidR="002879FF" w:rsidRDefault="397B9BB0" w:rsidP="001B47CA">
            <w:pPr>
              <w:pStyle w:val="Title"/>
              <w:jc w:val="left"/>
            </w:pPr>
            <w:r>
              <w:t>East Gippsland</w:t>
            </w:r>
          </w:p>
          <w:p w14:paraId="3CA53D82" w14:textId="77777777" w:rsidR="002879FF" w:rsidRDefault="002879FF" w:rsidP="001B47CA">
            <w:pPr>
              <w:pStyle w:val="Subtitle"/>
              <w:jc w:val="left"/>
            </w:pPr>
            <w:bookmarkStart w:id="0" w:name="myBookmark"/>
            <w:r>
              <w:t>Strategic Directions Statement</w:t>
            </w:r>
            <w:bookmarkEnd w:id="0"/>
          </w:p>
          <w:p w14:paraId="13FA8D41" w14:textId="6C67149C" w:rsidR="00D620D0" w:rsidRPr="00CB1FB7" w:rsidRDefault="001B47CA" w:rsidP="00D620D0">
            <w:pPr>
              <w:pStyle w:val="Subtitle"/>
              <w:jc w:val="left"/>
            </w:pPr>
            <w:r w:rsidRPr="001B47CA">
              <w:rPr>
                <w:sz w:val="28"/>
                <w:szCs w:val="22"/>
              </w:rPr>
              <w:t>2022</w:t>
            </w:r>
          </w:p>
        </w:tc>
      </w:tr>
    </w:tbl>
    <w:p w14:paraId="51A26F87" w14:textId="4871F334" w:rsidR="00D73B6C" w:rsidRPr="00D55628" w:rsidRDefault="00D73B6C"/>
    <w:p w14:paraId="5F9D719F" w14:textId="77777777" w:rsidR="00D73B6C" w:rsidRPr="00D55628" w:rsidRDefault="00D73B6C">
      <w:pPr>
        <w:sectPr w:rsidR="00D73B6C" w:rsidRPr="00D55628" w:rsidSect="002174EC">
          <w:headerReference w:type="default" r:id="rId26"/>
          <w:footerReference w:type="even" r:id="rId27"/>
          <w:footerReference w:type="first" r:id="rId28"/>
          <w:pgSz w:w="11907" w:h="16840" w:code="9"/>
          <w:pgMar w:top="2268" w:right="1134" w:bottom="1134" w:left="1134" w:header="284" w:footer="284" w:gutter="0"/>
          <w:cols w:space="708"/>
          <w:titlePg/>
          <w:docGrid w:linePitch="360"/>
        </w:sectPr>
      </w:pPr>
    </w:p>
    <w:p w14:paraId="097CBD1C" w14:textId="568BEA9B" w:rsidR="004561E6" w:rsidRPr="00FD49CE" w:rsidRDefault="00AB780B" w:rsidP="006D0741">
      <w:pPr>
        <w:pStyle w:val="SmallHeading"/>
        <w:spacing w:before="0"/>
        <w:rPr>
          <w:sz w:val="24"/>
        </w:rPr>
      </w:pPr>
      <w:r w:rsidRPr="00FD49CE">
        <w:rPr>
          <w:sz w:val="24"/>
        </w:rPr>
        <w:lastRenderedPageBreak/>
        <w:t>Acknowledgements</w:t>
      </w:r>
    </w:p>
    <w:p w14:paraId="5EF1BA05" w14:textId="6D06BD2C" w:rsidR="00DA0CF1" w:rsidRPr="00496141" w:rsidRDefault="00DA0CF1" w:rsidP="0097796E">
      <w:pPr>
        <w:pStyle w:val="BodyText"/>
        <w:rPr>
          <w:sz w:val="28"/>
          <w:szCs w:val="28"/>
        </w:rPr>
      </w:pPr>
      <w:r w:rsidRPr="00496141">
        <w:rPr>
          <w:sz w:val="28"/>
          <w:szCs w:val="28"/>
        </w:rPr>
        <w:t xml:space="preserve">The </w:t>
      </w:r>
      <w:r w:rsidR="071396E5" w:rsidRPr="00496141">
        <w:rPr>
          <w:sz w:val="28"/>
          <w:szCs w:val="28"/>
        </w:rPr>
        <w:t>East Gippsland</w:t>
      </w:r>
      <w:r w:rsidRPr="00496141">
        <w:rPr>
          <w:sz w:val="28"/>
          <w:szCs w:val="28"/>
        </w:rPr>
        <w:t xml:space="preserve"> Integrated Water Management Forum proudly acknowledges Victoria's Aboriginal communities and their rich </w:t>
      </w:r>
      <w:proofErr w:type="gramStart"/>
      <w:r w:rsidRPr="00496141">
        <w:rPr>
          <w:sz w:val="28"/>
          <w:szCs w:val="28"/>
        </w:rPr>
        <w:t>culture, and</w:t>
      </w:r>
      <w:proofErr w:type="gramEnd"/>
      <w:r w:rsidRPr="00496141">
        <w:rPr>
          <w:sz w:val="28"/>
          <w:szCs w:val="28"/>
        </w:rPr>
        <w:t xml:space="preserve"> pays its respects to their Elders past and present.</w:t>
      </w:r>
    </w:p>
    <w:p w14:paraId="116F8D61" w14:textId="0A50F5C8" w:rsidR="00AB780B" w:rsidRPr="00FD49CE" w:rsidRDefault="00DA0CF1" w:rsidP="0097796E">
      <w:pPr>
        <w:pStyle w:val="BodyText"/>
      </w:pPr>
      <w:r w:rsidRPr="00FD49CE">
        <w:t>The forum also recognises the intrinsic connection of Traditional Owners to Country and acknowledges their contribution to the management of land, water and resources.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544BE80B" w14:textId="77CFB19C" w:rsidR="00855C73" w:rsidRPr="00FD49CE" w:rsidRDefault="0097796E" w:rsidP="0097796E">
      <w:pPr>
        <w:pStyle w:val="BodyText"/>
      </w:pPr>
      <w:r w:rsidRPr="00FD49CE">
        <w:t xml:space="preserve">This Strategic Directions Statement has been developed by the </w:t>
      </w:r>
      <w:r w:rsidR="008C483A">
        <w:t>East Gippsland</w:t>
      </w:r>
      <w:r w:rsidR="008C483A" w:rsidRPr="00FD49CE">
        <w:t xml:space="preserve"> </w:t>
      </w:r>
      <w:r w:rsidRPr="00FD49CE">
        <w:t>Integrated Water Management Forum, which includes the following organisations:</w:t>
      </w:r>
    </w:p>
    <w:p w14:paraId="20895A27" w14:textId="0CEFE6DE" w:rsidR="00FD49CE" w:rsidRDefault="2FF091E6" w:rsidP="7E74AF0E">
      <w:pPr>
        <w:pStyle w:val="ListBullet"/>
      </w:pPr>
      <w:r>
        <w:t xml:space="preserve">Gunaikurnai Land and Waters Aboriginal Corporation  </w:t>
      </w:r>
    </w:p>
    <w:p w14:paraId="549612A7" w14:textId="42854B0B" w:rsidR="00FD49CE" w:rsidRDefault="63153601" w:rsidP="7E74AF0E">
      <w:pPr>
        <w:pStyle w:val="ListBullet"/>
      </w:pPr>
      <w:r>
        <w:t>Alpine Shire Council</w:t>
      </w:r>
    </w:p>
    <w:p w14:paraId="0C094971" w14:textId="6DABF8DC" w:rsidR="00FD49CE" w:rsidRDefault="6416E7A0" w:rsidP="7E74AF0E">
      <w:pPr>
        <w:pStyle w:val="ListBullet"/>
      </w:pPr>
      <w:r>
        <w:t>East Gippsland Shire Council</w:t>
      </w:r>
    </w:p>
    <w:p w14:paraId="7ED90F70" w14:textId="5343701B" w:rsidR="00FD49CE" w:rsidRDefault="7FCDDB33" w:rsidP="7E74AF0E">
      <w:pPr>
        <w:pStyle w:val="ListBullet"/>
      </w:pPr>
      <w:r>
        <w:t>Gippsland Ports</w:t>
      </w:r>
    </w:p>
    <w:p w14:paraId="195F80D1" w14:textId="0811CB7A" w:rsidR="00FD49CE" w:rsidRDefault="7FCDDB33" w:rsidP="7E74AF0E">
      <w:pPr>
        <w:pStyle w:val="ListBullet"/>
      </w:pPr>
      <w:r>
        <w:t>East Gippsland Catchment Management Authority</w:t>
      </w:r>
    </w:p>
    <w:p w14:paraId="08E9202C" w14:textId="20ABE839" w:rsidR="00FD49CE" w:rsidRDefault="7FCDDB33" w:rsidP="7E74AF0E">
      <w:pPr>
        <w:pStyle w:val="ListBullet"/>
      </w:pPr>
      <w:r>
        <w:t>East Gippsland Water</w:t>
      </w:r>
    </w:p>
    <w:p w14:paraId="7357C7AD" w14:textId="313CBA8F" w:rsidR="00FD49CE" w:rsidRDefault="7FCDDB33" w:rsidP="7E74AF0E">
      <w:pPr>
        <w:pStyle w:val="ListBullet"/>
      </w:pPr>
      <w:r>
        <w:t>Southern Rural Water</w:t>
      </w:r>
    </w:p>
    <w:p w14:paraId="0770259B" w14:textId="0F2BC69B" w:rsidR="00FD49CE" w:rsidRDefault="7FCDDB33" w:rsidP="7E74AF0E">
      <w:pPr>
        <w:pStyle w:val="ListBullet"/>
      </w:pPr>
      <w:r>
        <w:t>Department of Environment, Land Water and Planning</w:t>
      </w:r>
    </w:p>
    <w:p w14:paraId="21D857D4" w14:textId="43CCCB6A" w:rsidR="00FD49CE" w:rsidRDefault="665AD035" w:rsidP="7E74AF0E">
      <w:pPr>
        <w:pStyle w:val="ListBullet"/>
      </w:pPr>
      <w:r>
        <w:t>Bushfire Recovery Victoria</w:t>
      </w:r>
    </w:p>
    <w:p w14:paraId="635FCEBF" w14:textId="47D66350" w:rsidR="00FD49CE" w:rsidRDefault="665AD035" w:rsidP="7E74AF0E">
      <w:pPr>
        <w:pStyle w:val="ListBullet"/>
      </w:pPr>
      <w:r>
        <w:t>Parks Victoria</w:t>
      </w:r>
    </w:p>
    <w:p w14:paraId="78CEC11D" w14:textId="310AFBD4" w:rsidR="00FD49CE" w:rsidRDefault="665AD035" w:rsidP="7E74AF0E">
      <w:pPr>
        <w:pStyle w:val="ListBullet"/>
      </w:pPr>
      <w:r>
        <w:t>Bairnsdale Regional Health Service</w:t>
      </w:r>
    </w:p>
    <w:p w14:paraId="681854D8" w14:textId="76B99C40" w:rsidR="00FD49CE" w:rsidRDefault="0004792F" w:rsidP="0041146D">
      <w:pPr>
        <w:pStyle w:val="ListBullet"/>
        <w:numPr>
          <w:ilvl w:val="0"/>
          <w:numId w:val="0"/>
        </w:numPr>
      </w:pPr>
      <w:r w:rsidRPr="0004792F">
        <w:t xml:space="preserve">The forum will continue to work with other organisations along the IWM journey. </w:t>
      </w:r>
      <w:r w:rsidR="00FD49CE">
        <w:br w:type="page"/>
      </w:r>
    </w:p>
    <w:p w14:paraId="49C6D8DA" w14:textId="77777777" w:rsidR="00A24900" w:rsidRDefault="00A24900" w:rsidP="00967322">
      <w:pPr>
        <w:pStyle w:val="xDisclaimertext3"/>
        <w:rPr>
          <w:sz w:val="24"/>
        </w:rPr>
      </w:pPr>
    </w:p>
    <w:p w14:paraId="1C88CF7E" w14:textId="77777777" w:rsidR="00A24900" w:rsidRDefault="00A24900" w:rsidP="00967322">
      <w:pPr>
        <w:pStyle w:val="xDisclaimertext3"/>
        <w:rPr>
          <w:sz w:val="24"/>
        </w:rPr>
      </w:pPr>
    </w:p>
    <w:p w14:paraId="7E2D5974" w14:textId="77777777" w:rsidR="00A24900" w:rsidRDefault="00A24900" w:rsidP="00967322">
      <w:pPr>
        <w:pStyle w:val="xDisclaimertext3"/>
        <w:rPr>
          <w:sz w:val="24"/>
        </w:rPr>
      </w:pPr>
    </w:p>
    <w:p w14:paraId="6B72778A" w14:textId="77777777" w:rsidR="00A24900" w:rsidRDefault="00A24900" w:rsidP="00967322">
      <w:pPr>
        <w:pStyle w:val="xDisclaimertext3"/>
        <w:rPr>
          <w:sz w:val="24"/>
        </w:rPr>
      </w:pPr>
    </w:p>
    <w:p w14:paraId="1D298279" w14:textId="77777777" w:rsidR="00A24900" w:rsidRDefault="00A24900" w:rsidP="00967322">
      <w:pPr>
        <w:pStyle w:val="xDisclaimertext3"/>
        <w:rPr>
          <w:sz w:val="24"/>
        </w:rPr>
      </w:pPr>
    </w:p>
    <w:p w14:paraId="136B70E2" w14:textId="77777777" w:rsidR="00A24900" w:rsidRDefault="00A24900" w:rsidP="00967322">
      <w:pPr>
        <w:pStyle w:val="xDisclaimertext3"/>
        <w:rPr>
          <w:sz w:val="24"/>
        </w:rPr>
      </w:pPr>
    </w:p>
    <w:p w14:paraId="092DD372" w14:textId="77777777" w:rsidR="00A24900" w:rsidRDefault="00A24900" w:rsidP="00967322">
      <w:pPr>
        <w:pStyle w:val="xDisclaimertext3"/>
        <w:rPr>
          <w:sz w:val="24"/>
        </w:rPr>
      </w:pPr>
    </w:p>
    <w:p w14:paraId="571373C4" w14:textId="77777777" w:rsidR="00A24900" w:rsidRDefault="00A24900" w:rsidP="00967322">
      <w:pPr>
        <w:pStyle w:val="xDisclaimertext3"/>
        <w:rPr>
          <w:sz w:val="24"/>
        </w:rPr>
      </w:pPr>
    </w:p>
    <w:p w14:paraId="4818345D" w14:textId="77777777" w:rsidR="00A24900" w:rsidRDefault="00A24900" w:rsidP="00967322">
      <w:pPr>
        <w:pStyle w:val="xDisclaimertext3"/>
        <w:rPr>
          <w:sz w:val="24"/>
        </w:rPr>
      </w:pPr>
    </w:p>
    <w:p w14:paraId="31295B2C" w14:textId="77777777" w:rsidR="00A24900" w:rsidRDefault="00A24900" w:rsidP="00967322">
      <w:pPr>
        <w:pStyle w:val="xDisclaimertext3"/>
        <w:rPr>
          <w:sz w:val="24"/>
        </w:rPr>
      </w:pPr>
    </w:p>
    <w:p w14:paraId="58346CA5" w14:textId="77777777" w:rsidR="00A24900" w:rsidRDefault="00A24900" w:rsidP="00967322">
      <w:pPr>
        <w:pStyle w:val="xDisclaimertext3"/>
        <w:rPr>
          <w:sz w:val="24"/>
        </w:rPr>
      </w:pPr>
    </w:p>
    <w:p w14:paraId="177BFB51" w14:textId="77777777" w:rsidR="00A24900" w:rsidRDefault="00A24900" w:rsidP="00967322">
      <w:pPr>
        <w:pStyle w:val="xDisclaimertext3"/>
        <w:rPr>
          <w:sz w:val="24"/>
        </w:rPr>
      </w:pPr>
    </w:p>
    <w:p w14:paraId="64DECFB4" w14:textId="77777777" w:rsidR="00A24900" w:rsidRDefault="00A24900" w:rsidP="00967322">
      <w:pPr>
        <w:pStyle w:val="xDisclaimertext3"/>
        <w:rPr>
          <w:sz w:val="24"/>
        </w:rPr>
      </w:pPr>
    </w:p>
    <w:p w14:paraId="06D63DC3" w14:textId="77777777" w:rsidR="00A24900" w:rsidRDefault="00A24900" w:rsidP="00967322">
      <w:pPr>
        <w:pStyle w:val="xDisclaimertext3"/>
        <w:rPr>
          <w:sz w:val="24"/>
        </w:rPr>
      </w:pPr>
    </w:p>
    <w:p w14:paraId="3E38DA7F" w14:textId="77777777" w:rsidR="00A24900" w:rsidRDefault="00A24900" w:rsidP="00967322">
      <w:pPr>
        <w:pStyle w:val="xDisclaimertext3"/>
        <w:rPr>
          <w:sz w:val="24"/>
        </w:rPr>
      </w:pPr>
    </w:p>
    <w:p w14:paraId="28B1474A" w14:textId="77777777" w:rsidR="00A24900" w:rsidRDefault="00A24900" w:rsidP="00967322">
      <w:pPr>
        <w:pStyle w:val="xDisclaimertext3"/>
        <w:rPr>
          <w:sz w:val="24"/>
        </w:rPr>
      </w:pPr>
    </w:p>
    <w:p w14:paraId="4CAC4A2C" w14:textId="77777777" w:rsidR="00A24900" w:rsidRDefault="00A24900" w:rsidP="00967322">
      <w:pPr>
        <w:pStyle w:val="xDisclaimertext3"/>
        <w:rPr>
          <w:sz w:val="24"/>
        </w:rPr>
      </w:pPr>
    </w:p>
    <w:p w14:paraId="72ECF4A9" w14:textId="77777777" w:rsidR="00A24900" w:rsidRDefault="00A24900" w:rsidP="00967322">
      <w:pPr>
        <w:pStyle w:val="xDisclaimertext3"/>
        <w:rPr>
          <w:sz w:val="24"/>
        </w:rPr>
      </w:pPr>
    </w:p>
    <w:p w14:paraId="61B6AD23" w14:textId="77777777" w:rsidR="00A24900" w:rsidRDefault="00A24900" w:rsidP="00967322">
      <w:pPr>
        <w:pStyle w:val="xDisclaimertext3"/>
        <w:rPr>
          <w:sz w:val="24"/>
        </w:rPr>
      </w:pPr>
    </w:p>
    <w:p w14:paraId="4AA4F829" w14:textId="77777777" w:rsidR="00A24900" w:rsidRDefault="00A24900" w:rsidP="00967322">
      <w:pPr>
        <w:pStyle w:val="xDisclaimertext3"/>
        <w:rPr>
          <w:sz w:val="24"/>
        </w:rPr>
      </w:pPr>
    </w:p>
    <w:p w14:paraId="32FD097A" w14:textId="77777777" w:rsidR="00A24900" w:rsidRDefault="00A24900" w:rsidP="00967322">
      <w:pPr>
        <w:pStyle w:val="xDisclaimertext3"/>
        <w:rPr>
          <w:sz w:val="24"/>
        </w:rPr>
      </w:pPr>
    </w:p>
    <w:p w14:paraId="53F2D417" w14:textId="49AC44CD" w:rsidR="00967322" w:rsidRPr="00FD49CE" w:rsidRDefault="00967322" w:rsidP="00967322">
      <w:pPr>
        <w:pStyle w:val="xDisclaimertext3"/>
        <w:rPr>
          <w:sz w:val="24"/>
        </w:rPr>
      </w:pPr>
      <w:r w:rsidRPr="00FD49CE">
        <w:rPr>
          <w:sz w:val="24"/>
        </w:rPr>
        <w:t>The State of Victoria Department of Environment, Land, Water and Planning 2022</w:t>
      </w:r>
      <w:r w:rsidR="0004792F">
        <w:rPr>
          <w:sz w:val="24"/>
        </w:rPr>
        <w:t>.</w:t>
      </w:r>
    </w:p>
    <w:p w14:paraId="25BF5D9C" w14:textId="058CD22E" w:rsidR="00967322" w:rsidRPr="00FD49CE" w:rsidRDefault="00967322" w:rsidP="00967322">
      <w:pPr>
        <w:pStyle w:val="xDisclaimertext3"/>
        <w:rPr>
          <w:sz w:val="24"/>
        </w:rPr>
      </w:pPr>
      <w:r w:rsidRPr="00FD49CE">
        <w:rPr>
          <w:sz w:val="24"/>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9" w:history="1">
        <w:r w:rsidRPr="00FD49CE">
          <w:rPr>
            <w:sz w:val="24"/>
          </w:rPr>
          <w:t>http://creativecommons.org/licenses/by/4.0/</w:t>
        </w:r>
      </w:hyperlink>
      <w:r w:rsidRPr="00FD49CE">
        <w:rPr>
          <w:sz w:val="24"/>
        </w:rPr>
        <w:t xml:space="preserve"> </w:t>
      </w:r>
    </w:p>
    <w:p w14:paraId="3976E8B0" w14:textId="6F9BAEB8" w:rsidR="00967322" w:rsidRPr="00FD49CE" w:rsidRDefault="00967322" w:rsidP="00967322">
      <w:pPr>
        <w:pStyle w:val="xDisclaimertext3"/>
        <w:rPr>
          <w:sz w:val="24"/>
        </w:rPr>
      </w:pPr>
      <w:r w:rsidRPr="00FD49CE">
        <w:rPr>
          <w:sz w:val="24"/>
        </w:rPr>
        <w:t>Printed by</w:t>
      </w:r>
      <w:r w:rsidR="00FB721B" w:rsidRPr="00FD49CE">
        <w:rPr>
          <w:sz w:val="24"/>
        </w:rPr>
        <w:t xml:space="preserve"> Finsbury Green, Melbourne</w:t>
      </w:r>
    </w:p>
    <w:p w14:paraId="21C97890" w14:textId="2D02237D" w:rsidR="00967322" w:rsidRPr="009F0818" w:rsidRDefault="00967322" w:rsidP="00967322">
      <w:pPr>
        <w:pStyle w:val="xDisclaimertext3"/>
        <w:rPr>
          <w:sz w:val="24"/>
        </w:rPr>
      </w:pPr>
      <w:r w:rsidRPr="009F0818">
        <w:rPr>
          <w:sz w:val="24"/>
        </w:rPr>
        <w:t xml:space="preserve">ISBN </w:t>
      </w:r>
      <w:r w:rsidR="009F0818" w:rsidRPr="009F0818">
        <w:rPr>
          <w:sz w:val="24"/>
        </w:rPr>
        <w:t xml:space="preserve">978-1-76136-136-4 </w:t>
      </w:r>
      <w:r w:rsidRPr="009F0818">
        <w:rPr>
          <w:sz w:val="24"/>
        </w:rPr>
        <w:t>(print)</w:t>
      </w:r>
    </w:p>
    <w:p w14:paraId="4922F0DF" w14:textId="2A2707F9" w:rsidR="00967322" w:rsidRPr="00FD49CE" w:rsidRDefault="00967322" w:rsidP="00967322">
      <w:pPr>
        <w:pStyle w:val="xDisclaimerText"/>
        <w:rPr>
          <w:sz w:val="24"/>
        </w:rPr>
      </w:pPr>
      <w:r w:rsidRPr="009F0818">
        <w:rPr>
          <w:sz w:val="24"/>
        </w:rPr>
        <w:t xml:space="preserve">ISBN </w:t>
      </w:r>
      <w:r w:rsidR="00AC4BE7" w:rsidRPr="009F0818">
        <w:rPr>
          <w:sz w:val="24"/>
        </w:rPr>
        <w:t>978-1-76136-137-1</w:t>
      </w:r>
      <w:r w:rsidR="00AC4BE7" w:rsidRPr="005C5504" w:rsidDel="00AC4BE7">
        <w:rPr>
          <w:sz w:val="24"/>
        </w:rPr>
        <w:t xml:space="preserve"> </w:t>
      </w:r>
      <w:r w:rsidRPr="009F0818">
        <w:rPr>
          <w:sz w:val="24"/>
        </w:rPr>
        <w:t>(</w:t>
      </w:r>
      <w:r w:rsidR="00FB721B" w:rsidRPr="009F0818">
        <w:rPr>
          <w:sz w:val="24"/>
        </w:rPr>
        <w:t>pdf</w:t>
      </w:r>
      <w:r w:rsidR="00FB721B" w:rsidRPr="00FD49CE">
        <w:rPr>
          <w:sz w:val="24"/>
        </w:rPr>
        <w:t>/online/MS Word</w:t>
      </w:r>
      <w:r w:rsidRPr="00FD49CE">
        <w:rPr>
          <w:sz w:val="24"/>
        </w:rPr>
        <w:t>)</w:t>
      </w:r>
    </w:p>
    <w:p w14:paraId="5C7F7C91" w14:textId="77777777" w:rsidR="00967322" w:rsidRPr="00FD49CE" w:rsidRDefault="00967322" w:rsidP="00967322">
      <w:pPr>
        <w:pStyle w:val="xDisclaimerHeading"/>
        <w:rPr>
          <w:sz w:val="24"/>
        </w:rPr>
      </w:pPr>
      <w:r w:rsidRPr="00FD49CE">
        <w:rPr>
          <w:sz w:val="24"/>
        </w:rPr>
        <w:t>Disclaimer</w:t>
      </w:r>
    </w:p>
    <w:p w14:paraId="21DAB38C" w14:textId="77777777" w:rsidR="00967322" w:rsidRPr="00FD49CE" w:rsidRDefault="00967322" w:rsidP="00967322">
      <w:pPr>
        <w:pStyle w:val="xDisclaimerText"/>
        <w:rPr>
          <w:sz w:val="24"/>
        </w:rPr>
      </w:pPr>
      <w:r w:rsidRPr="00FD49CE">
        <w:rPr>
          <w:sz w:val="24"/>
        </w:rPr>
        <w:t xml:space="preserve">This publication may be of assistance to </w:t>
      </w:r>
      <w:proofErr w:type="gramStart"/>
      <w:r w:rsidRPr="00FD49CE">
        <w:rPr>
          <w:sz w:val="24"/>
        </w:rPr>
        <w:t>you</w:t>
      </w:r>
      <w:proofErr w:type="gramEnd"/>
      <w:r w:rsidRPr="00FD49CE">
        <w:rPr>
          <w:sz w:val="24"/>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26D8C6" w14:textId="77777777" w:rsidR="00967322" w:rsidRPr="00FD49CE" w:rsidRDefault="00967322" w:rsidP="00967322">
      <w:pPr>
        <w:pStyle w:val="xAccessibilityHeading"/>
      </w:pPr>
      <w:r w:rsidRPr="00FD49CE">
        <w:t>Accessibility</w:t>
      </w:r>
    </w:p>
    <w:p w14:paraId="4D8793AD" w14:textId="7A1EBBEA" w:rsidR="00967322" w:rsidRPr="00FD49CE" w:rsidRDefault="00967322" w:rsidP="00967322">
      <w:pPr>
        <w:pStyle w:val="SmallBodyText"/>
        <w:rPr>
          <w:sz w:val="24"/>
        </w:rPr>
      </w:pPr>
      <w:r w:rsidRPr="00FD49CE">
        <w:rPr>
          <w:sz w:val="24"/>
        </w:rPr>
        <w:t xml:space="preserve">If you would like to receive this publication in an alternative format, please telephone the DELWP Customer Service Centre on 136186, email </w:t>
      </w:r>
      <w:hyperlink r:id="rId30" w:history="1">
        <w:r w:rsidRPr="00FD49CE">
          <w:rPr>
            <w:rStyle w:val="Hyperlink"/>
            <w:sz w:val="24"/>
          </w:rPr>
          <w:t>customer.service@delwp.vic.gov.au</w:t>
        </w:r>
      </w:hyperlink>
      <w:r w:rsidR="00D54DA7">
        <w:rPr>
          <w:sz w:val="24"/>
        </w:rPr>
        <w:t xml:space="preserve"> </w:t>
      </w:r>
      <w:r w:rsidRPr="00FD49CE">
        <w:rPr>
          <w:sz w:val="24"/>
        </w:rPr>
        <w:t xml:space="preserve">or via the National Relay Service on 133 677 </w:t>
      </w:r>
      <w:hyperlink r:id="rId31" w:history="1">
        <w:r w:rsidRPr="00FD49CE">
          <w:rPr>
            <w:sz w:val="24"/>
          </w:rPr>
          <w:t>www.relayservice.com.au</w:t>
        </w:r>
      </w:hyperlink>
      <w:r w:rsidRPr="00FD49CE">
        <w:rPr>
          <w:sz w:val="24"/>
        </w:rPr>
        <w:t>. This</w:t>
      </w:r>
      <w:r w:rsidR="00855C73" w:rsidRPr="00FD49CE">
        <w:rPr>
          <w:sz w:val="24"/>
        </w:rPr>
        <w:t xml:space="preserve"> </w:t>
      </w:r>
      <w:r w:rsidRPr="00FD49CE">
        <w:rPr>
          <w:sz w:val="24"/>
        </w:rPr>
        <w:t xml:space="preserve">document is also available on the internet at </w:t>
      </w:r>
      <w:hyperlink r:id="rId32" w:history="1">
        <w:r w:rsidR="00855C73" w:rsidRPr="00FD49CE">
          <w:rPr>
            <w:rStyle w:val="Hyperlink"/>
            <w:sz w:val="24"/>
          </w:rPr>
          <w:t>www.delwp.vic.gov.au</w:t>
        </w:r>
      </w:hyperlink>
      <w:r w:rsidR="00855C73" w:rsidRPr="00FD49CE">
        <w:rPr>
          <w:sz w:val="24"/>
        </w:rPr>
        <w:t>.</w:t>
      </w:r>
    </w:p>
    <w:p w14:paraId="53A68CD3" w14:textId="77777777" w:rsidR="00855C73" w:rsidRPr="00FD49CE" w:rsidRDefault="00855C73" w:rsidP="00967322">
      <w:pPr>
        <w:pStyle w:val="SmallBodyText"/>
        <w:rPr>
          <w:sz w:val="24"/>
        </w:rPr>
      </w:pPr>
    </w:p>
    <w:p w14:paraId="7D491ACD" w14:textId="77777777" w:rsidR="004561E6" w:rsidRPr="00FD49CE" w:rsidRDefault="004561E6" w:rsidP="00967322">
      <w:pPr>
        <w:pStyle w:val="BodyText"/>
      </w:pPr>
    </w:p>
    <w:p w14:paraId="3DB9D7F9" w14:textId="6F99E091" w:rsidR="00967322" w:rsidRDefault="00967322" w:rsidP="00967322">
      <w:pPr>
        <w:pStyle w:val="BodyText"/>
        <w:sectPr w:rsidR="00967322" w:rsidSect="00A16239">
          <w:headerReference w:type="even" r:id="rId33"/>
          <w:footerReference w:type="even" r:id="rId34"/>
          <w:footerReference w:type="first" r:id="rId35"/>
          <w:pgSz w:w="11907" w:h="16840" w:code="9"/>
          <w:pgMar w:top="1134" w:right="1134" w:bottom="1134" w:left="1134" w:header="284" w:footer="284" w:gutter="0"/>
          <w:cols w:space="708"/>
          <w:titlePg/>
          <w:docGrid w:linePitch="360"/>
        </w:sectPr>
      </w:pPr>
    </w:p>
    <w:p w14:paraId="492DB0E6" w14:textId="77777777" w:rsidR="002174EC" w:rsidRDefault="002174EC" w:rsidP="002174EC">
      <w:pPr>
        <w:pStyle w:val="TOCHeading"/>
        <w:framePr w:wrap="around"/>
      </w:pPr>
      <w:bookmarkStart w:id="1" w:name="_Toc4060449"/>
      <w:r>
        <w:lastRenderedPageBreak/>
        <w:t>Contents</w:t>
      </w:r>
      <w:bookmarkStart w:id="2" w:name="_TOCMarker"/>
      <w:bookmarkEnd w:id="2"/>
    </w:p>
    <w:p w14:paraId="6C0B97B1" w14:textId="6E006C95" w:rsidR="005C5504" w:rsidRDefault="00320E71">
      <w:pPr>
        <w:pStyle w:val="TOC1"/>
        <w:rPr>
          <w:rFonts w:eastAsiaTheme="minorEastAsia" w:cstheme="minorBidi"/>
          <w:b w:val="0"/>
          <w:color w:val="auto"/>
          <w:sz w:val="22"/>
          <w:szCs w:val="22"/>
        </w:rPr>
      </w:pPr>
      <w:r>
        <w:rPr>
          <w:b w:val="0"/>
        </w:rPr>
        <w:fldChar w:fldCharType="begin"/>
      </w:r>
      <w:r>
        <w:rPr>
          <w:b w:val="0"/>
        </w:rPr>
        <w:instrText xml:space="preserve"> TOC \o "1-3" \h \z \u </w:instrText>
      </w:r>
      <w:r>
        <w:rPr>
          <w:b w:val="0"/>
        </w:rPr>
        <w:fldChar w:fldCharType="separate"/>
      </w:r>
      <w:hyperlink w:anchor="_Toc117694642" w:history="1">
        <w:r w:rsidR="005C5504" w:rsidRPr="00875662">
          <w:rPr>
            <w:rStyle w:val="Hyperlink"/>
          </w:rPr>
          <w:t>Foreword</w:t>
        </w:r>
        <w:r w:rsidR="005C5504">
          <w:rPr>
            <w:webHidden/>
          </w:rPr>
          <w:tab/>
        </w:r>
        <w:r w:rsidR="005C5504">
          <w:rPr>
            <w:webHidden/>
          </w:rPr>
          <w:fldChar w:fldCharType="begin"/>
        </w:r>
        <w:r w:rsidR="005C5504">
          <w:rPr>
            <w:webHidden/>
          </w:rPr>
          <w:instrText xml:space="preserve"> PAGEREF _Toc117694642 \h </w:instrText>
        </w:r>
        <w:r w:rsidR="005C5504">
          <w:rPr>
            <w:webHidden/>
          </w:rPr>
        </w:r>
        <w:r w:rsidR="005C5504">
          <w:rPr>
            <w:webHidden/>
          </w:rPr>
          <w:fldChar w:fldCharType="separate"/>
        </w:r>
        <w:r w:rsidR="005C5504">
          <w:rPr>
            <w:webHidden/>
          </w:rPr>
          <w:t>3</w:t>
        </w:r>
        <w:r w:rsidR="005C5504">
          <w:rPr>
            <w:webHidden/>
          </w:rPr>
          <w:fldChar w:fldCharType="end"/>
        </w:r>
      </w:hyperlink>
    </w:p>
    <w:p w14:paraId="13C75332" w14:textId="2D1AFC9C" w:rsidR="005C5504" w:rsidRDefault="005C5504">
      <w:pPr>
        <w:pStyle w:val="TOC1"/>
        <w:rPr>
          <w:rFonts w:eastAsiaTheme="minorEastAsia" w:cstheme="minorBidi"/>
          <w:b w:val="0"/>
          <w:color w:val="auto"/>
          <w:sz w:val="22"/>
          <w:szCs w:val="22"/>
        </w:rPr>
      </w:pPr>
      <w:hyperlink w:anchor="_Toc117694643" w:history="1">
        <w:r w:rsidRPr="00875662">
          <w:rPr>
            <w:rStyle w:val="Hyperlink"/>
          </w:rPr>
          <w:t>Executive summary</w:t>
        </w:r>
        <w:r>
          <w:rPr>
            <w:webHidden/>
          </w:rPr>
          <w:tab/>
        </w:r>
        <w:r>
          <w:rPr>
            <w:webHidden/>
          </w:rPr>
          <w:fldChar w:fldCharType="begin"/>
        </w:r>
        <w:r>
          <w:rPr>
            <w:webHidden/>
          </w:rPr>
          <w:instrText xml:space="preserve"> PAGEREF _Toc117694643 \h </w:instrText>
        </w:r>
        <w:r>
          <w:rPr>
            <w:webHidden/>
          </w:rPr>
        </w:r>
        <w:r>
          <w:rPr>
            <w:webHidden/>
          </w:rPr>
          <w:fldChar w:fldCharType="separate"/>
        </w:r>
        <w:r>
          <w:rPr>
            <w:webHidden/>
          </w:rPr>
          <w:t>5</w:t>
        </w:r>
        <w:r>
          <w:rPr>
            <w:webHidden/>
          </w:rPr>
          <w:fldChar w:fldCharType="end"/>
        </w:r>
      </w:hyperlink>
    </w:p>
    <w:p w14:paraId="60CF5C3C" w14:textId="5CB67919" w:rsidR="005C5504" w:rsidRDefault="005C5504">
      <w:pPr>
        <w:pStyle w:val="TOC2"/>
        <w:rPr>
          <w:rFonts w:eastAsiaTheme="minorEastAsia" w:cstheme="minorBidi"/>
          <w:color w:val="auto"/>
          <w:sz w:val="22"/>
          <w:szCs w:val="22"/>
        </w:rPr>
      </w:pPr>
      <w:hyperlink w:anchor="_Toc117694644" w:history="1">
        <w:r w:rsidRPr="00875662">
          <w:rPr>
            <w:rStyle w:val="Hyperlink"/>
          </w:rPr>
          <w:t>Vision</w:t>
        </w:r>
        <w:r>
          <w:rPr>
            <w:webHidden/>
          </w:rPr>
          <w:tab/>
        </w:r>
        <w:r>
          <w:rPr>
            <w:webHidden/>
          </w:rPr>
          <w:fldChar w:fldCharType="begin"/>
        </w:r>
        <w:r>
          <w:rPr>
            <w:webHidden/>
          </w:rPr>
          <w:instrText xml:space="preserve"> PAGEREF _Toc117694644 \h </w:instrText>
        </w:r>
        <w:r>
          <w:rPr>
            <w:webHidden/>
          </w:rPr>
        </w:r>
        <w:r>
          <w:rPr>
            <w:webHidden/>
          </w:rPr>
          <w:fldChar w:fldCharType="separate"/>
        </w:r>
        <w:r>
          <w:rPr>
            <w:webHidden/>
          </w:rPr>
          <w:t>5</w:t>
        </w:r>
        <w:r>
          <w:rPr>
            <w:webHidden/>
          </w:rPr>
          <w:fldChar w:fldCharType="end"/>
        </w:r>
      </w:hyperlink>
    </w:p>
    <w:p w14:paraId="0E12570C" w14:textId="38699A08" w:rsidR="005C5504" w:rsidRDefault="005C5504">
      <w:pPr>
        <w:pStyle w:val="TOC2"/>
        <w:rPr>
          <w:rFonts w:eastAsiaTheme="minorEastAsia" w:cstheme="minorBidi"/>
          <w:color w:val="auto"/>
          <w:sz w:val="22"/>
          <w:szCs w:val="22"/>
        </w:rPr>
      </w:pPr>
      <w:hyperlink w:anchor="_Toc117694645" w:history="1">
        <w:r w:rsidRPr="00875662">
          <w:rPr>
            <w:rStyle w:val="Hyperlink"/>
          </w:rPr>
          <w:t>Progress to date</w:t>
        </w:r>
        <w:r>
          <w:rPr>
            <w:webHidden/>
          </w:rPr>
          <w:tab/>
        </w:r>
        <w:r>
          <w:rPr>
            <w:webHidden/>
          </w:rPr>
          <w:fldChar w:fldCharType="begin"/>
        </w:r>
        <w:r>
          <w:rPr>
            <w:webHidden/>
          </w:rPr>
          <w:instrText xml:space="preserve"> PAGEREF _Toc117694645 \h </w:instrText>
        </w:r>
        <w:r>
          <w:rPr>
            <w:webHidden/>
          </w:rPr>
        </w:r>
        <w:r>
          <w:rPr>
            <w:webHidden/>
          </w:rPr>
          <w:fldChar w:fldCharType="separate"/>
        </w:r>
        <w:r>
          <w:rPr>
            <w:webHidden/>
          </w:rPr>
          <w:t>5</w:t>
        </w:r>
        <w:r>
          <w:rPr>
            <w:webHidden/>
          </w:rPr>
          <w:fldChar w:fldCharType="end"/>
        </w:r>
      </w:hyperlink>
    </w:p>
    <w:p w14:paraId="70A21463" w14:textId="3B5ACC62" w:rsidR="005C5504" w:rsidRDefault="005C5504">
      <w:pPr>
        <w:pStyle w:val="TOC2"/>
        <w:rPr>
          <w:rFonts w:eastAsiaTheme="minorEastAsia" w:cstheme="minorBidi"/>
          <w:color w:val="auto"/>
          <w:sz w:val="22"/>
          <w:szCs w:val="22"/>
        </w:rPr>
      </w:pPr>
      <w:hyperlink w:anchor="_Toc117694646" w:history="1">
        <w:r w:rsidRPr="00875662">
          <w:rPr>
            <w:rStyle w:val="Hyperlink"/>
          </w:rPr>
          <w:t>Key areas</w:t>
        </w:r>
        <w:r>
          <w:rPr>
            <w:webHidden/>
          </w:rPr>
          <w:tab/>
        </w:r>
        <w:r>
          <w:rPr>
            <w:webHidden/>
          </w:rPr>
          <w:fldChar w:fldCharType="begin"/>
        </w:r>
        <w:r>
          <w:rPr>
            <w:webHidden/>
          </w:rPr>
          <w:instrText xml:space="preserve"> PAGEREF _Toc117694646 \h </w:instrText>
        </w:r>
        <w:r>
          <w:rPr>
            <w:webHidden/>
          </w:rPr>
        </w:r>
        <w:r>
          <w:rPr>
            <w:webHidden/>
          </w:rPr>
          <w:fldChar w:fldCharType="separate"/>
        </w:r>
        <w:r>
          <w:rPr>
            <w:webHidden/>
          </w:rPr>
          <w:t>5</w:t>
        </w:r>
        <w:r>
          <w:rPr>
            <w:webHidden/>
          </w:rPr>
          <w:fldChar w:fldCharType="end"/>
        </w:r>
      </w:hyperlink>
    </w:p>
    <w:p w14:paraId="14F5208A" w14:textId="1F86E5EC" w:rsidR="005C5504" w:rsidRDefault="005C5504">
      <w:pPr>
        <w:pStyle w:val="TOC2"/>
        <w:rPr>
          <w:rFonts w:eastAsiaTheme="minorEastAsia" w:cstheme="minorBidi"/>
          <w:color w:val="auto"/>
          <w:sz w:val="22"/>
          <w:szCs w:val="22"/>
        </w:rPr>
      </w:pPr>
      <w:hyperlink w:anchor="_Toc117694647" w:history="1">
        <w:r w:rsidRPr="00875662">
          <w:rPr>
            <w:rStyle w:val="Hyperlink"/>
          </w:rPr>
          <w:t>Themes and IWM opportunities</w:t>
        </w:r>
        <w:r>
          <w:rPr>
            <w:webHidden/>
          </w:rPr>
          <w:tab/>
        </w:r>
        <w:r>
          <w:rPr>
            <w:webHidden/>
          </w:rPr>
          <w:fldChar w:fldCharType="begin"/>
        </w:r>
        <w:r>
          <w:rPr>
            <w:webHidden/>
          </w:rPr>
          <w:instrText xml:space="preserve"> PAGEREF _Toc117694647 \h </w:instrText>
        </w:r>
        <w:r>
          <w:rPr>
            <w:webHidden/>
          </w:rPr>
        </w:r>
        <w:r>
          <w:rPr>
            <w:webHidden/>
          </w:rPr>
          <w:fldChar w:fldCharType="separate"/>
        </w:r>
        <w:r>
          <w:rPr>
            <w:webHidden/>
          </w:rPr>
          <w:t>6</w:t>
        </w:r>
        <w:r>
          <w:rPr>
            <w:webHidden/>
          </w:rPr>
          <w:fldChar w:fldCharType="end"/>
        </w:r>
      </w:hyperlink>
    </w:p>
    <w:p w14:paraId="1AEE0A4E" w14:textId="200A38EB" w:rsidR="005C5504" w:rsidRDefault="005C5504">
      <w:pPr>
        <w:pStyle w:val="TOC3"/>
        <w:rPr>
          <w:color w:val="auto"/>
          <w:sz w:val="22"/>
          <w:szCs w:val="22"/>
        </w:rPr>
      </w:pPr>
      <w:hyperlink w:anchor="_Toc117694648" w:history="1">
        <w:r w:rsidRPr="00875662">
          <w:rPr>
            <w:rStyle w:val="Hyperlink"/>
          </w:rPr>
          <w:t>Water for Traditional Owners</w:t>
        </w:r>
        <w:r>
          <w:rPr>
            <w:webHidden/>
          </w:rPr>
          <w:tab/>
        </w:r>
        <w:r>
          <w:rPr>
            <w:webHidden/>
          </w:rPr>
          <w:fldChar w:fldCharType="begin"/>
        </w:r>
        <w:r>
          <w:rPr>
            <w:webHidden/>
          </w:rPr>
          <w:instrText xml:space="preserve"> PAGEREF _Toc117694648 \h </w:instrText>
        </w:r>
        <w:r>
          <w:rPr>
            <w:webHidden/>
          </w:rPr>
        </w:r>
        <w:r>
          <w:rPr>
            <w:webHidden/>
          </w:rPr>
          <w:fldChar w:fldCharType="separate"/>
        </w:r>
        <w:r>
          <w:rPr>
            <w:webHidden/>
          </w:rPr>
          <w:t>6</w:t>
        </w:r>
        <w:r>
          <w:rPr>
            <w:webHidden/>
          </w:rPr>
          <w:fldChar w:fldCharType="end"/>
        </w:r>
      </w:hyperlink>
    </w:p>
    <w:p w14:paraId="390E0058" w14:textId="3DA43257" w:rsidR="005C5504" w:rsidRDefault="005C5504">
      <w:pPr>
        <w:pStyle w:val="TOC3"/>
        <w:rPr>
          <w:color w:val="auto"/>
          <w:sz w:val="22"/>
          <w:szCs w:val="22"/>
        </w:rPr>
      </w:pPr>
      <w:hyperlink w:anchor="_Toc117694649" w:history="1">
        <w:r w:rsidRPr="00875662">
          <w:rPr>
            <w:rStyle w:val="Hyperlink"/>
          </w:rPr>
          <w:t>Improving water management in our townships</w:t>
        </w:r>
        <w:r>
          <w:rPr>
            <w:webHidden/>
          </w:rPr>
          <w:tab/>
        </w:r>
        <w:r>
          <w:rPr>
            <w:webHidden/>
          </w:rPr>
          <w:fldChar w:fldCharType="begin"/>
        </w:r>
        <w:r>
          <w:rPr>
            <w:webHidden/>
          </w:rPr>
          <w:instrText xml:space="preserve"> PAGEREF _Toc117694649 \h </w:instrText>
        </w:r>
        <w:r>
          <w:rPr>
            <w:webHidden/>
          </w:rPr>
        </w:r>
        <w:r>
          <w:rPr>
            <w:webHidden/>
          </w:rPr>
          <w:fldChar w:fldCharType="separate"/>
        </w:r>
        <w:r>
          <w:rPr>
            <w:webHidden/>
          </w:rPr>
          <w:t>6</w:t>
        </w:r>
        <w:r>
          <w:rPr>
            <w:webHidden/>
          </w:rPr>
          <w:fldChar w:fldCharType="end"/>
        </w:r>
      </w:hyperlink>
    </w:p>
    <w:p w14:paraId="692FF7AC" w14:textId="7CECBC56" w:rsidR="005C5504" w:rsidRDefault="005C5504">
      <w:pPr>
        <w:pStyle w:val="TOC3"/>
        <w:rPr>
          <w:color w:val="auto"/>
          <w:sz w:val="22"/>
          <w:szCs w:val="22"/>
        </w:rPr>
      </w:pPr>
      <w:hyperlink w:anchor="_Toc117694650" w:history="1">
        <w:r w:rsidRPr="00875662">
          <w:rPr>
            <w:rStyle w:val="Hyperlink"/>
          </w:rPr>
          <w:t>Improving waterway health</w:t>
        </w:r>
        <w:r>
          <w:rPr>
            <w:webHidden/>
          </w:rPr>
          <w:tab/>
        </w:r>
        <w:r>
          <w:rPr>
            <w:webHidden/>
          </w:rPr>
          <w:fldChar w:fldCharType="begin"/>
        </w:r>
        <w:r>
          <w:rPr>
            <w:webHidden/>
          </w:rPr>
          <w:instrText xml:space="preserve"> PAGEREF _Toc117694650 \h </w:instrText>
        </w:r>
        <w:r>
          <w:rPr>
            <w:webHidden/>
          </w:rPr>
        </w:r>
        <w:r>
          <w:rPr>
            <w:webHidden/>
          </w:rPr>
          <w:fldChar w:fldCharType="separate"/>
        </w:r>
        <w:r>
          <w:rPr>
            <w:webHidden/>
          </w:rPr>
          <w:t>6</w:t>
        </w:r>
        <w:r>
          <w:rPr>
            <w:webHidden/>
          </w:rPr>
          <w:fldChar w:fldCharType="end"/>
        </w:r>
      </w:hyperlink>
    </w:p>
    <w:p w14:paraId="703D7B2A" w14:textId="7D72F2EF" w:rsidR="005C5504" w:rsidRDefault="005C5504">
      <w:pPr>
        <w:pStyle w:val="TOC1"/>
        <w:rPr>
          <w:rFonts w:eastAsiaTheme="minorEastAsia" w:cstheme="minorBidi"/>
          <w:b w:val="0"/>
          <w:color w:val="auto"/>
          <w:sz w:val="22"/>
          <w:szCs w:val="22"/>
        </w:rPr>
      </w:pPr>
      <w:hyperlink w:anchor="_Toc117694651" w:history="1">
        <w:r w:rsidRPr="00875662">
          <w:rPr>
            <w:rStyle w:val="Hyperlink"/>
          </w:rPr>
          <w:t>East Gippsland Integrated Water Management Forum</w:t>
        </w:r>
        <w:r>
          <w:rPr>
            <w:webHidden/>
          </w:rPr>
          <w:tab/>
        </w:r>
        <w:r>
          <w:rPr>
            <w:webHidden/>
          </w:rPr>
          <w:fldChar w:fldCharType="begin"/>
        </w:r>
        <w:r>
          <w:rPr>
            <w:webHidden/>
          </w:rPr>
          <w:instrText xml:space="preserve"> PAGEREF _Toc117694651 \h </w:instrText>
        </w:r>
        <w:r>
          <w:rPr>
            <w:webHidden/>
          </w:rPr>
        </w:r>
        <w:r>
          <w:rPr>
            <w:webHidden/>
          </w:rPr>
          <w:fldChar w:fldCharType="separate"/>
        </w:r>
        <w:r>
          <w:rPr>
            <w:webHidden/>
          </w:rPr>
          <w:t>8</w:t>
        </w:r>
        <w:r>
          <w:rPr>
            <w:webHidden/>
          </w:rPr>
          <w:fldChar w:fldCharType="end"/>
        </w:r>
      </w:hyperlink>
    </w:p>
    <w:p w14:paraId="01AAF9DD" w14:textId="07EB8158" w:rsidR="005C5504" w:rsidRDefault="005C5504">
      <w:pPr>
        <w:pStyle w:val="TOC2"/>
        <w:rPr>
          <w:rFonts w:eastAsiaTheme="minorEastAsia" w:cstheme="minorBidi"/>
          <w:color w:val="auto"/>
          <w:sz w:val="22"/>
          <w:szCs w:val="22"/>
        </w:rPr>
      </w:pPr>
      <w:hyperlink w:anchor="_Toc117694652" w:history="1">
        <w:r w:rsidRPr="00875662">
          <w:rPr>
            <w:rStyle w:val="Hyperlink"/>
          </w:rPr>
          <w:t>Strategic Directions Statement 2022 summary</w:t>
        </w:r>
        <w:r>
          <w:rPr>
            <w:webHidden/>
          </w:rPr>
          <w:tab/>
        </w:r>
        <w:r>
          <w:rPr>
            <w:webHidden/>
          </w:rPr>
          <w:fldChar w:fldCharType="begin"/>
        </w:r>
        <w:r>
          <w:rPr>
            <w:webHidden/>
          </w:rPr>
          <w:instrText xml:space="preserve"> PAGEREF _Toc117694652 \h </w:instrText>
        </w:r>
        <w:r>
          <w:rPr>
            <w:webHidden/>
          </w:rPr>
        </w:r>
        <w:r>
          <w:rPr>
            <w:webHidden/>
          </w:rPr>
          <w:fldChar w:fldCharType="separate"/>
        </w:r>
        <w:r>
          <w:rPr>
            <w:webHidden/>
          </w:rPr>
          <w:t>8</w:t>
        </w:r>
        <w:r>
          <w:rPr>
            <w:webHidden/>
          </w:rPr>
          <w:fldChar w:fldCharType="end"/>
        </w:r>
      </w:hyperlink>
    </w:p>
    <w:p w14:paraId="174053A7" w14:textId="623B97D6" w:rsidR="005C5504" w:rsidRDefault="005C5504">
      <w:pPr>
        <w:pStyle w:val="TOC1"/>
        <w:rPr>
          <w:rFonts w:eastAsiaTheme="minorEastAsia" w:cstheme="minorBidi"/>
          <w:b w:val="0"/>
          <w:color w:val="auto"/>
          <w:sz w:val="22"/>
          <w:szCs w:val="22"/>
        </w:rPr>
      </w:pPr>
      <w:hyperlink w:anchor="_Toc117694653" w:history="1">
        <w:r w:rsidRPr="00875662">
          <w:rPr>
            <w:rStyle w:val="Hyperlink"/>
          </w:rPr>
          <w:t>Better together: integrating water management across Victoria</w:t>
        </w:r>
        <w:r>
          <w:rPr>
            <w:webHidden/>
          </w:rPr>
          <w:tab/>
        </w:r>
        <w:r>
          <w:rPr>
            <w:webHidden/>
          </w:rPr>
          <w:fldChar w:fldCharType="begin"/>
        </w:r>
        <w:r>
          <w:rPr>
            <w:webHidden/>
          </w:rPr>
          <w:instrText xml:space="preserve"> PAGEREF _Toc117694653 \h </w:instrText>
        </w:r>
        <w:r>
          <w:rPr>
            <w:webHidden/>
          </w:rPr>
        </w:r>
        <w:r>
          <w:rPr>
            <w:webHidden/>
          </w:rPr>
          <w:fldChar w:fldCharType="separate"/>
        </w:r>
        <w:r>
          <w:rPr>
            <w:webHidden/>
          </w:rPr>
          <w:t>9</w:t>
        </w:r>
        <w:r>
          <w:rPr>
            <w:webHidden/>
          </w:rPr>
          <w:fldChar w:fldCharType="end"/>
        </w:r>
      </w:hyperlink>
    </w:p>
    <w:p w14:paraId="19D5E246" w14:textId="77AEC885" w:rsidR="005C5504" w:rsidRDefault="005C5504">
      <w:pPr>
        <w:pStyle w:val="TOC2"/>
        <w:rPr>
          <w:rFonts w:eastAsiaTheme="minorEastAsia" w:cstheme="minorBidi"/>
          <w:color w:val="auto"/>
          <w:sz w:val="22"/>
          <w:szCs w:val="22"/>
        </w:rPr>
      </w:pPr>
      <w:hyperlink w:anchor="_Toc117694654" w:history="1">
        <w:r w:rsidRPr="00875662">
          <w:rPr>
            <w:rStyle w:val="Hyperlink"/>
          </w:rPr>
          <w:t>Water and Traditional Owners</w:t>
        </w:r>
        <w:r>
          <w:rPr>
            <w:webHidden/>
          </w:rPr>
          <w:tab/>
        </w:r>
        <w:r>
          <w:rPr>
            <w:webHidden/>
          </w:rPr>
          <w:fldChar w:fldCharType="begin"/>
        </w:r>
        <w:r>
          <w:rPr>
            <w:webHidden/>
          </w:rPr>
          <w:instrText xml:space="preserve"> PAGEREF _Toc117694654 \h </w:instrText>
        </w:r>
        <w:r>
          <w:rPr>
            <w:webHidden/>
          </w:rPr>
        </w:r>
        <w:r>
          <w:rPr>
            <w:webHidden/>
          </w:rPr>
          <w:fldChar w:fldCharType="separate"/>
        </w:r>
        <w:r>
          <w:rPr>
            <w:webHidden/>
          </w:rPr>
          <w:t>9</w:t>
        </w:r>
        <w:r>
          <w:rPr>
            <w:webHidden/>
          </w:rPr>
          <w:fldChar w:fldCharType="end"/>
        </w:r>
      </w:hyperlink>
    </w:p>
    <w:p w14:paraId="3D564F2D" w14:textId="23992934" w:rsidR="005C5504" w:rsidRDefault="005C5504">
      <w:pPr>
        <w:pStyle w:val="TOC2"/>
        <w:rPr>
          <w:rFonts w:eastAsiaTheme="minorEastAsia" w:cstheme="minorBidi"/>
          <w:color w:val="auto"/>
          <w:sz w:val="22"/>
          <w:szCs w:val="22"/>
        </w:rPr>
      </w:pPr>
      <w:hyperlink w:anchor="_Toc117694655" w:history="1">
        <w:r w:rsidRPr="00875662">
          <w:rPr>
            <w:rStyle w:val="Hyperlink"/>
          </w:rPr>
          <w:t>Water in the new millennium</w:t>
        </w:r>
        <w:r>
          <w:rPr>
            <w:webHidden/>
          </w:rPr>
          <w:tab/>
        </w:r>
        <w:r>
          <w:rPr>
            <w:webHidden/>
          </w:rPr>
          <w:fldChar w:fldCharType="begin"/>
        </w:r>
        <w:r>
          <w:rPr>
            <w:webHidden/>
          </w:rPr>
          <w:instrText xml:space="preserve"> PAGEREF _Toc117694655 \h </w:instrText>
        </w:r>
        <w:r>
          <w:rPr>
            <w:webHidden/>
          </w:rPr>
        </w:r>
        <w:r>
          <w:rPr>
            <w:webHidden/>
          </w:rPr>
          <w:fldChar w:fldCharType="separate"/>
        </w:r>
        <w:r>
          <w:rPr>
            <w:webHidden/>
          </w:rPr>
          <w:t>9</w:t>
        </w:r>
        <w:r>
          <w:rPr>
            <w:webHidden/>
          </w:rPr>
          <w:fldChar w:fldCharType="end"/>
        </w:r>
      </w:hyperlink>
    </w:p>
    <w:p w14:paraId="33285095" w14:textId="600854E1" w:rsidR="005C5504" w:rsidRDefault="005C5504">
      <w:pPr>
        <w:pStyle w:val="TOC2"/>
        <w:rPr>
          <w:rFonts w:eastAsiaTheme="minorEastAsia" w:cstheme="minorBidi"/>
          <w:color w:val="auto"/>
          <w:sz w:val="22"/>
          <w:szCs w:val="22"/>
        </w:rPr>
      </w:pPr>
      <w:hyperlink w:anchor="_Toc117694656" w:history="1">
        <w:r w:rsidRPr="00875662">
          <w:rPr>
            <w:rStyle w:val="Hyperlink"/>
          </w:rPr>
          <w:t>What is IWM? How can it help address the challenges?</w:t>
        </w:r>
        <w:r>
          <w:rPr>
            <w:webHidden/>
          </w:rPr>
          <w:tab/>
        </w:r>
        <w:r>
          <w:rPr>
            <w:webHidden/>
          </w:rPr>
          <w:fldChar w:fldCharType="begin"/>
        </w:r>
        <w:r>
          <w:rPr>
            <w:webHidden/>
          </w:rPr>
          <w:instrText xml:space="preserve"> PAGEREF _Toc117694656 \h </w:instrText>
        </w:r>
        <w:r>
          <w:rPr>
            <w:webHidden/>
          </w:rPr>
        </w:r>
        <w:r>
          <w:rPr>
            <w:webHidden/>
          </w:rPr>
          <w:fldChar w:fldCharType="separate"/>
        </w:r>
        <w:r>
          <w:rPr>
            <w:webHidden/>
          </w:rPr>
          <w:t>10</w:t>
        </w:r>
        <w:r>
          <w:rPr>
            <w:webHidden/>
          </w:rPr>
          <w:fldChar w:fldCharType="end"/>
        </w:r>
      </w:hyperlink>
    </w:p>
    <w:p w14:paraId="2CA838CD" w14:textId="600C6C4F" w:rsidR="005C5504" w:rsidRDefault="005C5504">
      <w:pPr>
        <w:pStyle w:val="TOC2"/>
        <w:rPr>
          <w:rFonts w:eastAsiaTheme="minorEastAsia" w:cstheme="minorBidi"/>
          <w:color w:val="auto"/>
          <w:sz w:val="22"/>
          <w:szCs w:val="22"/>
        </w:rPr>
      </w:pPr>
      <w:hyperlink w:anchor="_Toc117694657" w:history="1">
        <w:r w:rsidRPr="00875662">
          <w:rPr>
            <w:rStyle w:val="Hyperlink"/>
          </w:rPr>
          <w:t>How are we delivering IWM?</w:t>
        </w:r>
        <w:r>
          <w:rPr>
            <w:webHidden/>
          </w:rPr>
          <w:tab/>
        </w:r>
        <w:r>
          <w:rPr>
            <w:webHidden/>
          </w:rPr>
          <w:fldChar w:fldCharType="begin"/>
        </w:r>
        <w:r>
          <w:rPr>
            <w:webHidden/>
          </w:rPr>
          <w:instrText xml:space="preserve"> PAGEREF _Toc117694657 \h </w:instrText>
        </w:r>
        <w:r>
          <w:rPr>
            <w:webHidden/>
          </w:rPr>
        </w:r>
        <w:r>
          <w:rPr>
            <w:webHidden/>
          </w:rPr>
          <w:fldChar w:fldCharType="separate"/>
        </w:r>
        <w:r>
          <w:rPr>
            <w:webHidden/>
          </w:rPr>
          <w:t>12</w:t>
        </w:r>
        <w:r>
          <w:rPr>
            <w:webHidden/>
          </w:rPr>
          <w:fldChar w:fldCharType="end"/>
        </w:r>
      </w:hyperlink>
    </w:p>
    <w:p w14:paraId="4C97CDB0" w14:textId="52A6F317" w:rsidR="005C5504" w:rsidRDefault="005C5504">
      <w:pPr>
        <w:pStyle w:val="TOC2"/>
        <w:rPr>
          <w:rFonts w:eastAsiaTheme="minorEastAsia" w:cstheme="minorBidi"/>
          <w:color w:val="auto"/>
          <w:sz w:val="22"/>
          <w:szCs w:val="22"/>
        </w:rPr>
      </w:pPr>
      <w:hyperlink w:anchor="_Toc117694658" w:history="1">
        <w:r w:rsidRPr="00875662">
          <w:rPr>
            <w:rStyle w:val="Hyperlink"/>
          </w:rPr>
          <w:t>Strategic outcomes</w:t>
        </w:r>
        <w:r>
          <w:rPr>
            <w:webHidden/>
          </w:rPr>
          <w:tab/>
        </w:r>
        <w:r>
          <w:rPr>
            <w:webHidden/>
          </w:rPr>
          <w:fldChar w:fldCharType="begin"/>
        </w:r>
        <w:r>
          <w:rPr>
            <w:webHidden/>
          </w:rPr>
          <w:instrText xml:space="preserve"> PAGEREF _Toc117694658 \h </w:instrText>
        </w:r>
        <w:r>
          <w:rPr>
            <w:webHidden/>
          </w:rPr>
        </w:r>
        <w:r>
          <w:rPr>
            <w:webHidden/>
          </w:rPr>
          <w:fldChar w:fldCharType="separate"/>
        </w:r>
        <w:r>
          <w:rPr>
            <w:webHidden/>
          </w:rPr>
          <w:t>14</w:t>
        </w:r>
        <w:r>
          <w:rPr>
            <w:webHidden/>
          </w:rPr>
          <w:fldChar w:fldCharType="end"/>
        </w:r>
      </w:hyperlink>
    </w:p>
    <w:p w14:paraId="76BAC222" w14:textId="5EAC01B7" w:rsidR="005C5504" w:rsidRDefault="005C5504">
      <w:pPr>
        <w:pStyle w:val="TOC2"/>
        <w:rPr>
          <w:rFonts w:eastAsiaTheme="minorEastAsia" w:cstheme="minorBidi"/>
          <w:color w:val="auto"/>
          <w:sz w:val="22"/>
          <w:szCs w:val="22"/>
        </w:rPr>
      </w:pPr>
      <w:hyperlink w:anchor="_Toc117694659" w:history="1">
        <w:r w:rsidRPr="00875662">
          <w:rPr>
            <w:rStyle w:val="Hyperlink"/>
          </w:rPr>
          <w:t>Strategic Directions Statement – how IWM is happening in the region</w:t>
        </w:r>
        <w:r>
          <w:rPr>
            <w:webHidden/>
          </w:rPr>
          <w:tab/>
        </w:r>
        <w:r>
          <w:rPr>
            <w:webHidden/>
          </w:rPr>
          <w:fldChar w:fldCharType="begin"/>
        </w:r>
        <w:r>
          <w:rPr>
            <w:webHidden/>
          </w:rPr>
          <w:instrText xml:space="preserve"> PAGEREF _Toc117694659 \h </w:instrText>
        </w:r>
        <w:r>
          <w:rPr>
            <w:webHidden/>
          </w:rPr>
        </w:r>
        <w:r>
          <w:rPr>
            <w:webHidden/>
          </w:rPr>
          <w:fldChar w:fldCharType="separate"/>
        </w:r>
        <w:r>
          <w:rPr>
            <w:webHidden/>
          </w:rPr>
          <w:t>15</w:t>
        </w:r>
        <w:r>
          <w:rPr>
            <w:webHidden/>
          </w:rPr>
          <w:fldChar w:fldCharType="end"/>
        </w:r>
      </w:hyperlink>
    </w:p>
    <w:p w14:paraId="75B69373" w14:textId="07813CF2" w:rsidR="005C5504" w:rsidRDefault="005C5504">
      <w:pPr>
        <w:pStyle w:val="TOC3"/>
        <w:rPr>
          <w:color w:val="auto"/>
          <w:sz w:val="22"/>
          <w:szCs w:val="22"/>
        </w:rPr>
      </w:pPr>
      <w:hyperlink w:anchor="_Toc117694660" w:history="1">
        <w:r w:rsidRPr="00875662">
          <w:rPr>
            <w:rStyle w:val="Hyperlink"/>
          </w:rPr>
          <w:t>Relevant plans and strategies in place in the region</w:t>
        </w:r>
        <w:r>
          <w:rPr>
            <w:webHidden/>
          </w:rPr>
          <w:tab/>
        </w:r>
        <w:r>
          <w:rPr>
            <w:webHidden/>
          </w:rPr>
          <w:fldChar w:fldCharType="begin"/>
        </w:r>
        <w:r>
          <w:rPr>
            <w:webHidden/>
          </w:rPr>
          <w:instrText xml:space="preserve"> PAGEREF _Toc117694660 \h </w:instrText>
        </w:r>
        <w:r>
          <w:rPr>
            <w:webHidden/>
          </w:rPr>
        </w:r>
        <w:r>
          <w:rPr>
            <w:webHidden/>
          </w:rPr>
          <w:fldChar w:fldCharType="separate"/>
        </w:r>
        <w:r>
          <w:rPr>
            <w:webHidden/>
          </w:rPr>
          <w:t>15</w:t>
        </w:r>
        <w:r>
          <w:rPr>
            <w:webHidden/>
          </w:rPr>
          <w:fldChar w:fldCharType="end"/>
        </w:r>
      </w:hyperlink>
    </w:p>
    <w:p w14:paraId="7843A1C7" w14:textId="012899EF" w:rsidR="005C5504" w:rsidRDefault="005C5504">
      <w:pPr>
        <w:pStyle w:val="TOC1"/>
        <w:rPr>
          <w:rFonts w:eastAsiaTheme="minorEastAsia" w:cstheme="minorBidi"/>
          <w:b w:val="0"/>
          <w:color w:val="auto"/>
          <w:sz w:val="22"/>
          <w:szCs w:val="22"/>
        </w:rPr>
      </w:pPr>
      <w:hyperlink w:anchor="_Toc117694661" w:history="1">
        <w:r w:rsidRPr="00875662">
          <w:rPr>
            <w:rStyle w:val="Hyperlink"/>
          </w:rPr>
          <w:t>Water in the East Gippsland region</w:t>
        </w:r>
        <w:r>
          <w:rPr>
            <w:webHidden/>
          </w:rPr>
          <w:tab/>
        </w:r>
        <w:r>
          <w:rPr>
            <w:webHidden/>
          </w:rPr>
          <w:fldChar w:fldCharType="begin"/>
        </w:r>
        <w:r>
          <w:rPr>
            <w:webHidden/>
          </w:rPr>
          <w:instrText xml:space="preserve"> PAGEREF _Toc117694661 \h </w:instrText>
        </w:r>
        <w:r>
          <w:rPr>
            <w:webHidden/>
          </w:rPr>
        </w:r>
        <w:r>
          <w:rPr>
            <w:webHidden/>
          </w:rPr>
          <w:fldChar w:fldCharType="separate"/>
        </w:r>
        <w:r>
          <w:rPr>
            <w:webHidden/>
          </w:rPr>
          <w:t>18</w:t>
        </w:r>
        <w:r>
          <w:rPr>
            <w:webHidden/>
          </w:rPr>
          <w:fldChar w:fldCharType="end"/>
        </w:r>
      </w:hyperlink>
    </w:p>
    <w:p w14:paraId="55A24B00" w14:textId="5FD50714" w:rsidR="005C5504" w:rsidRDefault="005C5504">
      <w:pPr>
        <w:pStyle w:val="TOC1"/>
        <w:rPr>
          <w:rFonts w:eastAsiaTheme="minorEastAsia" w:cstheme="minorBidi"/>
          <w:b w:val="0"/>
          <w:color w:val="auto"/>
          <w:sz w:val="22"/>
          <w:szCs w:val="22"/>
        </w:rPr>
      </w:pPr>
      <w:hyperlink w:anchor="_Toc117694662" w:history="1">
        <w:r w:rsidRPr="00875662">
          <w:rPr>
            <w:rStyle w:val="Hyperlink"/>
          </w:rPr>
          <w:t>A changing region</w:t>
        </w:r>
        <w:r>
          <w:rPr>
            <w:webHidden/>
          </w:rPr>
          <w:tab/>
        </w:r>
        <w:r>
          <w:rPr>
            <w:webHidden/>
          </w:rPr>
          <w:fldChar w:fldCharType="begin"/>
        </w:r>
        <w:r>
          <w:rPr>
            <w:webHidden/>
          </w:rPr>
          <w:instrText xml:space="preserve"> PAGEREF _Toc117694662 \h </w:instrText>
        </w:r>
        <w:r>
          <w:rPr>
            <w:webHidden/>
          </w:rPr>
        </w:r>
        <w:r>
          <w:rPr>
            <w:webHidden/>
          </w:rPr>
          <w:fldChar w:fldCharType="separate"/>
        </w:r>
        <w:r>
          <w:rPr>
            <w:webHidden/>
          </w:rPr>
          <w:t>21</w:t>
        </w:r>
        <w:r>
          <w:rPr>
            <w:webHidden/>
          </w:rPr>
          <w:fldChar w:fldCharType="end"/>
        </w:r>
      </w:hyperlink>
    </w:p>
    <w:p w14:paraId="4E2414A4" w14:textId="64C2E6F9" w:rsidR="005C5504" w:rsidRDefault="005C5504">
      <w:pPr>
        <w:pStyle w:val="TOC2"/>
        <w:rPr>
          <w:rFonts w:eastAsiaTheme="minorEastAsia" w:cstheme="minorBidi"/>
          <w:color w:val="auto"/>
          <w:sz w:val="22"/>
          <w:szCs w:val="22"/>
        </w:rPr>
      </w:pPr>
      <w:hyperlink w:anchor="_Toc117694663" w:history="1">
        <w:r w:rsidRPr="00875662">
          <w:rPr>
            <w:rStyle w:val="Hyperlink"/>
          </w:rPr>
          <w:t>Water for Traditional Owners</w:t>
        </w:r>
        <w:r>
          <w:rPr>
            <w:webHidden/>
          </w:rPr>
          <w:tab/>
        </w:r>
        <w:r>
          <w:rPr>
            <w:webHidden/>
          </w:rPr>
          <w:fldChar w:fldCharType="begin"/>
        </w:r>
        <w:r>
          <w:rPr>
            <w:webHidden/>
          </w:rPr>
          <w:instrText xml:space="preserve"> PAGEREF _Toc117694663 \h </w:instrText>
        </w:r>
        <w:r>
          <w:rPr>
            <w:webHidden/>
          </w:rPr>
        </w:r>
        <w:r>
          <w:rPr>
            <w:webHidden/>
          </w:rPr>
          <w:fldChar w:fldCharType="separate"/>
        </w:r>
        <w:r>
          <w:rPr>
            <w:webHidden/>
          </w:rPr>
          <w:t>21</w:t>
        </w:r>
        <w:r>
          <w:rPr>
            <w:webHidden/>
          </w:rPr>
          <w:fldChar w:fldCharType="end"/>
        </w:r>
      </w:hyperlink>
    </w:p>
    <w:p w14:paraId="5938C905" w14:textId="44A5D79D" w:rsidR="005C5504" w:rsidRDefault="005C5504">
      <w:pPr>
        <w:pStyle w:val="TOC2"/>
        <w:rPr>
          <w:rFonts w:eastAsiaTheme="minorEastAsia" w:cstheme="minorBidi"/>
          <w:color w:val="auto"/>
          <w:sz w:val="22"/>
          <w:szCs w:val="22"/>
        </w:rPr>
      </w:pPr>
      <w:hyperlink w:anchor="_Toc117694664" w:history="1">
        <w:r w:rsidRPr="00875662">
          <w:rPr>
            <w:rStyle w:val="Hyperlink"/>
          </w:rPr>
          <w:t>Improving water management in our townships</w:t>
        </w:r>
        <w:r>
          <w:rPr>
            <w:webHidden/>
          </w:rPr>
          <w:tab/>
        </w:r>
        <w:r>
          <w:rPr>
            <w:webHidden/>
          </w:rPr>
          <w:fldChar w:fldCharType="begin"/>
        </w:r>
        <w:r>
          <w:rPr>
            <w:webHidden/>
          </w:rPr>
          <w:instrText xml:space="preserve"> PAGEREF _Toc117694664 \h </w:instrText>
        </w:r>
        <w:r>
          <w:rPr>
            <w:webHidden/>
          </w:rPr>
        </w:r>
        <w:r>
          <w:rPr>
            <w:webHidden/>
          </w:rPr>
          <w:fldChar w:fldCharType="separate"/>
        </w:r>
        <w:r>
          <w:rPr>
            <w:webHidden/>
          </w:rPr>
          <w:t>22</w:t>
        </w:r>
        <w:r>
          <w:rPr>
            <w:webHidden/>
          </w:rPr>
          <w:fldChar w:fldCharType="end"/>
        </w:r>
      </w:hyperlink>
    </w:p>
    <w:p w14:paraId="72849ECD" w14:textId="50BA2721" w:rsidR="005C5504" w:rsidRDefault="005C5504">
      <w:pPr>
        <w:pStyle w:val="TOC2"/>
        <w:rPr>
          <w:rFonts w:eastAsiaTheme="minorEastAsia" w:cstheme="minorBidi"/>
          <w:color w:val="auto"/>
          <w:sz w:val="22"/>
          <w:szCs w:val="22"/>
        </w:rPr>
      </w:pPr>
      <w:hyperlink w:anchor="_Toc117694665" w:history="1">
        <w:r w:rsidRPr="00875662">
          <w:rPr>
            <w:rStyle w:val="Hyperlink"/>
          </w:rPr>
          <w:t>Improving waterway health</w:t>
        </w:r>
        <w:r>
          <w:rPr>
            <w:webHidden/>
          </w:rPr>
          <w:tab/>
        </w:r>
        <w:r>
          <w:rPr>
            <w:webHidden/>
          </w:rPr>
          <w:fldChar w:fldCharType="begin"/>
        </w:r>
        <w:r>
          <w:rPr>
            <w:webHidden/>
          </w:rPr>
          <w:instrText xml:space="preserve"> PAGEREF _Toc117694665 \h </w:instrText>
        </w:r>
        <w:r>
          <w:rPr>
            <w:webHidden/>
          </w:rPr>
        </w:r>
        <w:r>
          <w:rPr>
            <w:webHidden/>
          </w:rPr>
          <w:fldChar w:fldCharType="separate"/>
        </w:r>
        <w:r>
          <w:rPr>
            <w:webHidden/>
          </w:rPr>
          <w:t>23</w:t>
        </w:r>
        <w:r>
          <w:rPr>
            <w:webHidden/>
          </w:rPr>
          <w:fldChar w:fldCharType="end"/>
        </w:r>
      </w:hyperlink>
    </w:p>
    <w:p w14:paraId="64CD2471" w14:textId="61A5061E" w:rsidR="005C5504" w:rsidRDefault="005C5504">
      <w:pPr>
        <w:pStyle w:val="TOC1"/>
        <w:rPr>
          <w:rFonts w:eastAsiaTheme="minorEastAsia" w:cstheme="minorBidi"/>
          <w:b w:val="0"/>
          <w:color w:val="auto"/>
          <w:sz w:val="22"/>
          <w:szCs w:val="22"/>
        </w:rPr>
      </w:pPr>
      <w:hyperlink w:anchor="_Toc117694666" w:history="1">
        <w:r w:rsidRPr="00875662">
          <w:rPr>
            <w:rStyle w:val="Hyperlink"/>
          </w:rPr>
          <w:t>Progress to date</w:t>
        </w:r>
        <w:r>
          <w:rPr>
            <w:webHidden/>
          </w:rPr>
          <w:tab/>
        </w:r>
        <w:r>
          <w:rPr>
            <w:webHidden/>
          </w:rPr>
          <w:fldChar w:fldCharType="begin"/>
        </w:r>
        <w:r>
          <w:rPr>
            <w:webHidden/>
          </w:rPr>
          <w:instrText xml:space="preserve"> PAGEREF _Toc117694666 \h </w:instrText>
        </w:r>
        <w:r>
          <w:rPr>
            <w:webHidden/>
          </w:rPr>
        </w:r>
        <w:r>
          <w:rPr>
            <w:webHidden/>
          </w:rPr>
          <w:fldChar w:fldCharType="separate"/>
        </w:r>
        <w:r>
          <w:rPr>
            <w:webHidden/>
          </w:rPr>
          <w:t>25</w:t>
        </w:r>
        <w:r>
          <w:rPr>
            <w:webHidden/>
          </w:rPr>
          <w:fldChar w:fldCharType="end"/>
        </w:r>
      </w:hyperlink>
    </w:p>
    <w:p w14:paraId="2CFBFA90" w14:textId="6401BE63" w:rsidR="005C5504" w:rsidRDefault="005C5504">
      <w:pPr>
        <w:pStyle w:val="TOC1"/>
        <w:rPr>
          <w:rFonts w:eastAsiaTheme="minorEastAsia" w:cstheme="minorBidi"/>
          <w:b w:val="0"/>
          <w:color w:val="auto"/>
          <w:sz w:val="22"/>
          <w:szCs w:val="22"/>
        </w:rPr>
      </w:pPr>
      <w:hyperlink w:anchor="_Toc117694667" w:history="1">
        <w:r w:rsidRPr="00875662">
          <w:rPr>
            <w:rStyle w:val="Hyperlink"/>
          </w:rPr>
          <w:t>Case study</w:t>
        </w:r>
        <w:r>
          <w:rPr>
            <w:webHidden/>
          </w:rPr>
          <w:tab/>
        </w:r>
        <w:r>
          <w:rPr>
            <w:webHidden/>
          </w:rPr>
          <w:fldChar w:fldCharType="begin"/>
        </w:r>
        <w:r>
          <w:rPr>
            <w:webHidden/>
          </w:rPr>
          <w:instrText xml:space="preserve"> PAGEREF _Toc117694667 \h </w:instrText>
        </w:r>
        <w:r>
          <w:rPr>
            <w:webHidden/>
          </w:rPr>
        </w:r>
        <w:r>
          <w:rPr>
            <w:webHidden/>
          </w:rPr>
          <w:fldChar w:fldCharType="separate"/>
        </w:r>
        <w:r>
          <w:rPr>
            <w:webHidden/>
          </w:rPr>
          <w:t>27</w:t>
        </w:r>
        <w:r>
          <w:rPr>
            <w:webHidden/>
          </w:rPr>
          <w:fldChar w:fldCharType="end"/>
        </w:r>
      </w:hyperlink>
    </w:p>
    <w:p w14:paraId="59C83549" w14:textId="2356090D" w:rsidR="005C5504" w:rsidRDefault="005C5504">
      <w:pPr>
        <w:pStyle w:val="TOC2"/>
        <w:rPr>
          <w:rFonts w:eastAsiaTheme="minorEastAsia" w:cstheme="minorBidi"/>
          <w:color w:val="auto"/>
          <w:sz w:val="22"/>
          <w:szCs w:val="22"/>
        </w:rPr>
      </w:pPr>
      <w:hyperlink w:anchor="_Toc117694668" w:history="1">
        <w:r w:rsidRPr="00875662">
          <w:rPr>
            <w:rStyle w:val="Hyperlink"/>
          </w:rPr>
          <w:t>Love our lakes</w:t>
        </w:r>
        <w:r>
          <w:rPr>
            <w:webHidden/>
          </w:rPr>
          <w:tab/>
        </w:r>
        <w:r>
          <w:rPr>
            <w:webHidden/>
          </w:rPr>
          <w:fldChar w:fldCharType="begin"/>
        </w:r>
        <w:r>
          <w:rPr>
            <w:webHidden/>
          </w:rPr>
          <w:instrText xml:space="preserve"> PAGEREF _Toc117694668 \h </w:instrText>
        </w:r>
        <w:r>
          <w:rPr>
            <w:webHidden/>
          </w:rPr>
        </w:r>
        <w:r>
          <w:rPr>
            <w:webHidden/>
          </w:rPr>
          <w:fldChar w:fldCharType="separate"/>
        </w:r>
        <w:r>
          <w:rPr>
            <w:webHidden/>
          </w:rPr>
          <w:t>27</w:t>
        </w:r>
        <w:r>
          <w:rPr>
            <w:webHidden/>
          </w:rPr>
          <w:fldChar w:fldCharType="end"/>
        </w:r>
      </w:hyperlink>
    </w:p>
    <w:p w14:paraId="70B11C97" w14:textId="769252B8" w:rsidR="005C5504" w:rsidRDefault="005C5504">
      <w:pPr>
        <w:pStyle w:val="TOC3"/>
        <w:rPr>
          <w:color w:val="auto"/>
          <w:sz w:val="22"/>
          <w:szCs w:val="22"/>
        </w:rPr>
      </w:pPr>
      <w:hyperlink w:anchor="_Toc117694669" w:history="1">
        <w:r w:rsidRPr="00875662">
          <w:rPr>
            <w:rStyle w:val="Hyperlink"/>
          </w:rPr>
          <w:t>A new wetland and partnership</w:t>
        </w:r>
        <w:r>
          <w:rPr>
            <w:webHidden/>
          </w:rPr>
          <w:tab/>
        </w:r>
        <w:r>
          <w:rPr>
            <w:webHidden/>
          </w:rPr>
          <w:fldChar w:fldCharType="begin"/>
        </w:r>
        <w:r>
          <w:rPr>
            <w:webHidden/>
          </w:rPr>
          <w:instrText xml:space="preserve"> PAGEREF _Toc117694669 \h </w:instrText>
        </w:r>
        <w:r>
          <w:rPr>
            <w:webHidden/>
          </w:rPr>
        </w:r>
        <w:r>
          <w:rPr>
            <w:webHidden/>
          </w:rPr>
          <w:fldChar w:fldCharType="separate"/>
        </w:r>
        <w:r>
          <w:rPr>
            <w:webHidden/>
          </w:rPr>
          <w:t>27</w:t>
        </w:r>
        <w:r>
          <w:rPr>
            <w:webHidden/>
          </w:rPr>
          <w:fldChar w:fldCharType="end"/>
        </w:r>
      </w:hyperlink>
    </w:p>
    <w:p w14:paraId="55A2BC59" w14:textId="7B210341" w:rsidR="005C5504" w:rsidRDefault="005C5504">
      <w:pPr>
        <w:pStyle w:val="TOC3"/>
        <w:rPr>
          <w:color w:val="auto"/>
          <w:sz w:val="22"/>
          <w:szCs w:val="22"/>
        </w:rPr>
      </w:pPr>
      <w:hyperlink w:anchor="_Toc117694670" w:history="1">
        <w:r w:rsidRPr="00875662">
          <w:rPr>
            <w:rStyle w:val="Hyperlink"/>
          </w:rPr>
          <w:t>Protecting the Gippsland Lakes</w:t>
        </w:r>
        <w:r>
          <w:rPr>
            <w:webHidden/>
          </w:rPr>
          <w:tab/>
        </w:r>
        <w:r>
          <w:rPr>
            <w:webHidden/>
          </w:rPr>
          <w:fldChar w:fldCharType="begin"/>
        </w:r>
        <w:r>
          <w:rPr>
            <w:webHidden/>
          </w:rPr>
          <w:instrText xml:space="preserve"> PAGEREF _Toc117694670 \h </w:instrText>
        </w:r>
        <w:r>
          <w:rPr>
            <w:webHidden/>
          </w:rPr>
        </w:r>
        <w:r>
          <w:rPr>
            <w:webHidden/>
          </w:rPr>
          <w:fldChar w:fldCharType="separate"/>
        </w:r>
        <w:r>
          <w:rPr>
            <w:webHidden/>
          </w:rPr>
          <w:t>27</w:t>
        </w:r>
        <w:r>
          <w:rPr>
            <w:webHidden/>
          </w:rPr>
          <w:fldChar w:fldCharType="end"/>
        </w:r>
      </w:hyperlink>
    </w:p>
    <w:p w14:paraId="5F2086F6" w14:textId="1717F9E6" w:rsidR="005C5504" w:rsidRDefault="005C5504">
      <w:pPr>
        <w:pStyle w:val="TOC3"/>
        <w:rPr>
          <w:color w:val="auto"/>
          <w:sz w:val="22"/>
          <w:szCs w:val="22"/>
        </w:rPr>
      </w:pPr>
      <w:hyperlink w:anchor="_Toc117694671" w:history="1">
        <w:r w:rsidRPr="00875662">
          <w:rPr>
            <w:rStyle w:val="Hyperlink"/>
          </w:rPr>
          <w:t>A space for nature</w:t>
        </w:r>
        <w:r>
          <w:rPr>
            <w:webHidden/>
          </w:rPr>
          <w:tab/>
        </w:r>
        <w:r>
          <w:rPr>
            <w:webHidden/>
          </w:rPr>
          <w:fldChar w:fldCharType="begin"/>
        </w:r>
        <w:r>
          <w:rPr>
            <w:webHidden/>
          </w:rPr>
          <w:instrText xml:space="preserve"> PAGEREF _Toc117694671 \h </w:instrText>
        </w:r>
        <w:r>
          <w:rPr>
            <w:webHidden/>
          </w:rPr>
        </w:r>
        <w:r>
          <w:rPr>
            <w:webHidden/>
          </w:rPr>
          <w:fldChar w:fldCharType="separate"/>
        </w:r>
        <w:r>
          <w:rPr>
            <w:webHidden/>
          </w:rPr>
          <w:t>27</w:t>
        </w:r>
        <w:r>
          <w:rPr>
            <w:webHidden/>
          </w:rPr>
          <w:fldChar w:fldCharType="end"/>
        </w:r>
      </w:hyperlink>
    </w:p>
    <w:p w14:paraId="7DE66308" w14:textId="1FB5AC1A" w:rsidR="005C5504" w:rsidRDefault="005C5504">
      <w:pPr>
        <w:pStyle w:val="TOC1"/>
        <w:rPr>
          <w:rFonts w:eastAsiaTheme="minorEastAsia" w:cstheme="minorBidi"/>
          <w:b w:val="0"/>
          <w:color w:val="auto"/>
          <w:sz w:val="22"/>
          <w:szCs w:val="22"/>
        </w:rPr>
      </w:pPr>
      <w:hyperlink w:anchor="_Toc117694672" w:history="1">
        <w:r w:rsidRPr="00875662">
          <w:rPr>
            <w:rStyle w:val="Hyperlink"/>
          </w:rPr>
          <w:t>Case study</w:t>
        </w:r>
        <w:r>
          <w:rPr>
            <w:webHidden/>
          </w:rPr>
          <w:tab/>
        </w:r>
        <w:r>
          <w:rPr>
            <w:webHidden/>
          </w:rPr>
          <w:fldChar w:fldCharType="begin"/>
        </w:r>
        <w:r>
          <w:rPr>
            <w:webHidden/>
          </w:rPr>
          <w:instrText xml:space="preserve"> PAGEREF _Toc117694672 \h </w:instrText>
        </w:r>
        <w:r>
          <w:rPr>
            <w:webHidden/>
          </w:rPr>
        </w:r>
        <w:r>
          <w:rPr>
            <w:webHidden/>
          </w:rPr>
          <w:fldChar w:fldCharType="separate"/>
        </w:r>
        <w:r>
          <w:rPr>
            <w:webHidden/>
          </w:rPr>
          <w:t>28</w:t>
        </w:r>
        <w:r>
          <w:rPr>
            <w:webHidden/>
          </w:rPr>
          <w:fldChar w:fldCharType="end"/>
        </w:r>
      </w:hyperlink>
    </w:p>
    <w:p w14:paraId="0A7217AE" w14:textId="26B4EDEE" w:rsidR="005C5504" w:rsidRDefault="005C5504">
      <w:pPr>
        <w:pStyle w:val="TOC2"/>
        <w:rPr>
          <w:rFonts w:eastAsiaTheme="minorEastAsia" w:cstheme="minorBidi"/>
          <w:color w:val="auto"/>
          <w:sz w:val="22"/>
          <w:szCs w:val="22"/>
        </w:rPr>
      </w:pPr>
      <w:hyperlink w:anchor="_Toc117694673" w:history="1">
        <w:r w:rsidRPr="00875662">
          <w:rPr>
            <w:rStyle w:val="Hyperlink"/>
          </w:rPr>
          <w:t>The IWM plan for Bairnsdale</w:t>
        </w:r>
        <w:r>
          <w:rPr>
            <w:webHidden/>
          </w:rPr>
          <w:tab/>
        </w:r>
        <w:r>
          <w:rPr>
            <w:webHidden/>
          </w:rPr>
          <w:fldChar w:fldCharType="begin"/>
        </w:r>
        <w:r>
          <w:rPr>
            <w:webHidden/>
          </w:rPr>
          <w:instrText xml:space="preserve"> PAGEREF _Toc117694673 \h </w:instrText>
        </w:r>
        <w:r>
          <w:rPr>
            <w:webHidden/>
          </w:rPr>
        </w:r>
        <w:r>
          <w:rPr>
            <w:webHidden/>
          </w:rPr>
          <w:fldChar w:fldCharType="separate"/>
        </w:r>
        <w:r>
          <w:rPr>
            <w:webHidden/>
          </w:rPr>
          <w:t>28</w:t>
        </w:r>
        <w:r>
          <w:rPr>
            <w:webHidden/>
          </w:rPr>
          <w:fldChar w:fldCharType="end"/>
        </w:r>
      </w:hyperlink>
    </w:p>
    <w:p w14:paraId="560325BB" w14:textId="0F74E0FB" w:rsidR="005C5504" w:rsidRDefault="005C5504">
      <w:pPr>
        <w:pStyle w:val="TOC3"/>
        <w:rPr>
          <w:color w:val="auto"/>
          <w:sz w:val="22"/>
          <w:szCs w:val="22"/>
        </w:rPr>
      </w:pPr>
      <w:hyperlink w:anchor="_Toc117694674" w:history="1">
        <w:r w:rsidRPr="00875662">
          <w:rPr>
            <w:rStyle w:val="Hyperlink"/>
          </w:rPr>
          <w:t>Planning for the resilience, liveability and future of the gateway to the Gippsland Lakes</w:t>
        </w:r>
        <w:r>
          <w:rPr>
            <w:webHidden/>
          </w:rPr>
          <w:tab/>
        </w:r>
        <w:r>
          <w:rPr>
            <w:webHidden/>
          </w:rPr>
          <w:fldChar w:fldCharType="begin"/>
        </w:r>
        <w:r>
          <w:rPr>
            <w:webHidden/>
          </w:rPr>
          <w:instrText xml:space="preserve"> PAGEREF _Toc117694674 \h </w:instrText>
        </w:r>
        <w:r>
          <w:rPr>
            <w:webHidden/>
          </w:rPr>
        </w:r>
        <w:r>
          <w:rPr>
            <w:webHidden/>
          </w:rPr>
          <w:fldChar w:fldCharType="separate"/>
        </w:r>
        <w:r>
          <w:rPr>
            <w:webHidden/>
          </w:rPr>
          <w:t>28</w:t>
        </w:r>
        <w:r>
          <w:rPr>
            <w:webHidden/>
          </w:rPr>
          <w:fldChar w:fldCharType="end"/>
        </w:r>
      </w:hyperlink>
    </w:p>
    <w:p w14:paraId="51CB67A0" w14:textId="3DA208DB" w:rsidR="005C5504" w:rsidRDefault="005C5504">
      <w:pPr>
        <w:pStyle w:val="TOC1"/>
        <w:rPr>
          <w:rFonts w:eastAsiaTheme="minorEastAsia" w:cstheme="minorBidi"/>
          <w:b w:val="0"/>
          <w:color w:val="auto"/>
          <w:sz w:val="22"/>
          <w:szCs w:val="22"/>
        </w:rPr>
      </w:pPr>
      <w:hyperlink w:anchor="_Toc117694675" w:history="1">
        <w:r w:rsidRPr="00875662">
          <w:rPr>
            <w:rStyle w:val="Hyperlink"/>
          </w:rPr>
          <w:t>IWM opportunities</w:t>
        </w:r>
        <w:r>
          <w:rPr>
            <w:webHidden/>
          </w:rPr>
          <w:tab/>
        </w:r>
        <w:r>
          <w:rPr>
            <w:webHidden/>
          </w:rPr>
          <w:fldChar w:fldCharType="begin"/>
        </w:r>
        <w:r>
          <w:rPr>
            <w:webHidden/>
          </w:rPr>
          <w:instrText xml:space="preserve"> PAGEREF _Toc117694675 \h </w:instrText>
        </w:r>
        <w:r>
          <w:rPr>
            <w:webHidden/>
          </w:rPr>
        </w:r>
        <w:r>
          <w:rPr>
            <w:webHidden/>
          </w:rPr>
          <w:fldChar w:fldCharType="separate"/>
        </w:r>
        <w:r>
          <w:rPr>
            <w:webHidden/>
          </w:rPr>
          <w:t>30</w:t>
        </w:r>
        <w:r>
          <w:rPr>
            <w:webHidden/>
          </w:rPr>
          <w:fldChar w:fldCharType="end"/>
        </w:r>
      </w:hyperlink>
    </w:p>
    <w:p w14:paraId="03534629" w14:textId="20CF7ADE" w:rsidR="005C5504" w:rsidRDefault="005C5504">
      <w:pPr>
        <w:pStyle w:val="TOC1"/>
        <w:rPr>
          <w:rFonts w:eastAsiaTheme="minorEastAsia" w:cstheme="minorBidi"/>
          <w:b w:val="0"/>
          <w:color w:val="auto"/>
          <w:sz w:val="22"/>
          <w:szCs w:val="22"/>
        </w:rPr>
      </w:pPr>
      <w:hyperlink w:anchor="_Toc117694676" w:history="1">
        <w:r w:rsidRPr="00875662">
          <w:rPr>
            <w:rStyle w:val="Hyperlink"/>
          </w:rPr>
          <w:t>Water for Traditional Owners</w:t>
        </w:r>
        <w:r>
          <w:rPr>
            <w:webHidden/>
          </w:rPr>
          <w:tab/>
        </w:r>
        <w:r>
          <w:rPr>
            <w:webHidden/>
          </w:rPr>
          <w:fldChar w:fldCharType="begin"/>
        </w:r>
        <w:r>
          <w:rPr>
            <w:webHidden/>
          </w:rPr>
          <w:instrText xml:space="preserve"> PAGEREF _Toc117694676 \h </w:instrText>
        </w:r>
        <w:r>
          <w:rPr>
            <w:webHidden/>
          </w:rPr>
        </w:r>
        <w:r>
          <w:rPr>
            <w:webHidden/>
          </w:rPr>
          <w:fldChar w:fldCharType="separate"/>
        </w:r>
        <w:r>
          <w:rPr>
            <w:webHidden/>
          </w:rPr>
          <w:t>31</w:t>
        </w:r>
        <w:r>
          <w:rPr>
            <w:webHidden/>
          </w:rPr>
          <w:fldChar w:fldCharType="end"/>
        </w:r>
      </w:hyperlink>
    </w:p>
    <w:p w14:paraId="2CB74EFD" w14:textId="52BAAC53" w:rsidR="005C5504" w:rsidRDefault="005C5504">
      <w:pPr>
        <w:pStyle w:val="TOC2"/>
        <w:rPr>
          <w:rFonts w:eastAsiaTheme="minorEastAsia" w:cstheme="minorBidi"/>
          <w:color w:val="auto"/>
          <w:sz w:val="22"/>
          <w:szCs w:val="22"/>
        </w:rPr>
      </w:pPr>
      <w:hyperlink w:anchor="_Toc117694677" w:history="1">
        <w:r w:rsidRPr="00875662">
          <w:rPr>
            <w:rStyle w:val="Hyperlink"/>
          </w:rPr>
          <w:t>Supporting Aboriginal Water Values in East Gippsland</w:t>
        </w:r>
        <w:r>
          <w:rPr>
            <w:webHidden/>
          </w:rPr>
          <w:tab/>
        </w:r>
        <w:r>
          <w:rPr>
            <w:webHidden/>
          </w:rPr>
          <w:fldChar w:fldCharType="begin"/>
        </w:r>
        <w:r>
          <w:rPr>
            <w:webHidden/>
          </w:rPr>
          <w:instrText xml:space="preserve"> PAGEREF _Toc117694677 \h </w:instrText>
        </w:r>
        <w:r>
          <w:rPr>
            <w:webHidden/>
          </w:rPr>
        </w:r>
        <w:r>
          <w:rPr>
            <w:webHidden/>
          </w:rPr>
          <w:fldChar w:fldCharType="separate"/>
        </w:r>
        <w:r>
          <w:rPr>
            <w:webHidden/>
          </w:rPr>
          <w:t>31</w:t>
        </w:r>
        <w:r>
          <w:rPr>
            <w:webHidden/>
          </w:rPr>
          <w:fldChar w:fldCharType="end"/>
        </w:r>
      </w:hyperlink>
    </w:p>
    <w:p w14:paraId="0F5E0D51" w14:textId="3B56CC12" w:rsidR="005C5504" w:rsidRDefault="005C5504">
      <w:pPr>
        <w:pStyle w:val="TOC3"/>
        <w:rPr>
          <w:color w:val="auto"/>
          <w:sz w:val="22"/>
          <w:szCs w:val="22"/>
        </w:rPr>
      </w:pPr>
      <w:hyperlink w:anchor="_Toc117694678" w:history="1">
        <w:r w:rsidRPr="00875662">
          <w:rPr>
            <w:rStyle w:val="Hyperlink"/>
          </w:rPr>
          <w:t>Potential outcomes</w:t>
        </w:r>
        <w:r>
          <w:rPr>
            <w:webHidden/>
          </w:rPr>
          <w:tab/>
        </w:r>
        <w:r>
          <w:rPr>
            <w:webHidden/>
          </w:rPr>
          <w:fldChar w:fldCharType="begin"/>
        </w:r>
        <w:r>
          <w:rPr>
            <w:webHidden/>
          </w:rPr>
          <w:instrText xml:space="preserve"> PAGEREF _Toc117694678 \h </w:instrText>
        </w:r>
        <w:r>
          <w:rPr>
            <w:webHidden/>
          </w:rPr>
        </w:r>
        <w:r>
          <w:rPr>
            <w:webHidden/>
          </w:rPr>
          <w:fldChar w:fldCharType="separate"/>
        </w:r>
        <w:r>
          <w:rPr>
            <w:webHidden/>
          </w:rPr>
          <w:t>31</w:t>
        </w:r>
        <w:r>
          <w:rPr>
            <w:webHidden/>
          </w:rPr>
          <w:fldChar w:fldCharType="end"/>
        </w:r>
      </w:hyperlink>
    </w:p>
    <w:p w14:paraId="263198E5" w14:textId="6255C567" w:rsidR="005C5504" w:rsidRDefault="005C5504">
      <w:pPr>
        <w:pStyle w:val="TOC3"/>
        <w:rPr>
          <w:color w:val="auto"/>
          <w:sz w:val="22"/>
          <w:szCs w:val="22"/>
        </w:rPr>
      </w:pPr>
      <w:hyperlink w:anchor="_Toc117694679" w:history="1">
        <w:r w:rsidRPr="00875662">
          <w:rPr>
            <w:rStyle w:val="Hyperlink"/>
          </w:rPr>
          <w:t>Next steps</w:t>
        </w:r>
        <w:r>
          <w:rPr>
            <w:webHidden/>
          </w:rPr>
          <w:tab/>
        </w:r>
        <w:r>
          <w:rPr>
            <w:webHidden/>
          </w:rPr>
          <w:fldChar w:fldCharType="begin"/>
        </w:r>
        <w:r>
          <w:rPr>
            <w:webHidden/>
          </w:rPr>
          <w:instrText xml:space="preserve"> PAGEREF _Toc117694679 \h </w:instrText>
        </w:r>
        <w:r>
          <w:rPr>
            <w:webHidden/>
          </w:rPr>
        </w:r>
        <w:r>
          <w:rPr>
            <w:webHidden/>
          </w:rPr>
          <w:fldChar w:fldCharType="separate"/>
        </w:r>
        <w:r>
          <w:rPr>
            <w:webHidden/>
          </w:rPr>
          <w:t>32</w:t>
        </w:r>
        <w:r>
          <w:rPr>
            <w:webHidden/>
          </w:rPr>
          <w:fldChar w:fldCharType="end"/>
        </w:r>
      </w:hyperlink>
    </w:p>
    <w:p w14:paraId="57C35312" w14:textId="5D072201" w:rsidR="005C5504" w:rsidRDefault="005C5504">
      <w:pPr>
        <w:pStyle w:val="TOC1"/>
        <w:rPr>
          <w:rFonts w:eastAsiaTheme="minorEastAsia" w:cstheme="minorBidi"/>
          <w:b w:val="0"/>
          <w:color w:val="auto"/>
          <w:sz w:val="22"/>
          <w:szCs w:val="22"/>
        </w:rPr>
      </w:pPr>
      <w:hyperlink w:anchor="_Toc117694680" w:history="1">
        <w:r w:rsidRPr="00875662">
          <w:rPr>
            <w:rStyle w:val="Hyperlink"/>
          </w:rPr>
          <w:t>Improving water management in our townships</w:t>
        </w:r>
        <w:r>
          <w:rPr>
            <w:webHidden/>
          </w:rPr>
          <w:tab/>
        </w:r>
        <w:r>
          <w:rPr>
            <w:webHidden/>
          </w:rPr>
          <w:fldChar w:fldCharType="begin"/>
        </w:r>
        <w:r>
          <w:rPr>
            <w:webHidden/>
          </w:rPr>
          <w:instrText xml:space="preserve"> PAGEREF _Toc117694680 \h </w:instrText>
        </w:r>
        <w:r>
          <w:rPr>
            <w:webHidden/>
          </w:rPr>
        </w:r>
        <w:r>
          <w:rPr>
            <w:webHidden/>
          </w:rPr>
          <w:fldChar w:fldCharType="separate"/>
        </w:r>
        <w:r>
          <w:rPr>
            <w:webHidden/>
          </w:rPr>
          <w:t>34</w:t>
        </w:r>
        <w:r>
          <w:rPr>
            <w:webHidden/>
          </w:rPr>
          <w:fldChar w:fldCharType="end"/>
        </w:r>
      </w:hyperlink>
    </w:p>
    <w:p w14:paraId="7B56B71F" w14:textId="2B5780D9" w:rsidR="005C5504" w:rsidRDefault="005C5504">
      <w:pPr>
        <w:pStyle w:val="TOC2"/>
        <w:rPr>
          <w:rFonts w:eastAsiaTheme="minorEastAsia" w:cstheme="minorBidi"/>
          <w:color w:val="auto"/>
          <w:sz w:val="22"/>
          <w:szCs w:val="22"/>
        </w:rPr>
      </w:pPr>
      <w:hyperlink w:anchor="_Toc117694681" w:history="1">
        <w:r w:rsidRPr="00875662">
          <w:rPr>
            <w:rStyle w:val="Hyperlink"/>
          </w:rPr>
          <w:t>Supporting Communities to Achieve Their Objectives Around Water</w:t>
        </w:r>
        <w:r>
          <w:rPr>
            <w:webHidden/>
          </w:rPr>
          <w:tab/>
        </w:r>
        <w:r>
          <w:rPr>
            <w:webHidden/>
          </w:rPr>
          <w:fldChar w:fldCharType="begin"/>
        </w:r>
        <w:r>
          <w:rPr>
            <w:webHidden/>
          </w:rPr>
          <w:instrText xml:space="preserve"> PAGEREF _Toc117694681 \h </w:instrText>
        </w:r>
        <w:r>
          <w:rPr>
            <w:webHidden/>
          </w:rPr>
        </w:r>
        <w:r>
          <w:rPr>
            <w:webHidden/>
          </w:rPr>
          <w:fldChar w:fldCharType="separate"/>
        </w:r>
        <w:r>
          <w:rPr>
            <w:webHidden/>
          </w:rPr>
          <w:t>34</w:t>
        </w:r>
        <w:r>
          <w:rPr>
            <w:webHidden/>
          </w:rPr>
          <w:fldChar w:fldCharType="end"/>
        </w:r>
      </w:hyperlink>
    </w:p>
    <w:p w14:paraId="48BC1B72" w14:textId="061D6093" w:rsidR="005C5504" w:rsidRDefault="005C5504">
      <w:pPr>
        <w:pStyle w:val="TOC2"/>
        <w:rPr>
          <w:rFonts w:eastAsiaTheme="minorEastAsia" w:cstheme="minorBidi"/>
          <w:color w:val="auto"/>
          <w:sz w:val="22"/>
          <w:szCs w:val="22"/>
        </w:rPr>
      </w:pPr>
      <w:hyperlink w:anchor="_Toc117694682" w:history="1">
        <w:r w:rsidRPr="00875662">
          <w:rPr>
            <w:rStyle w:val="Hyperlink"/>
          </w:rPr>
          <w:t>Bairnsdale IWM Plan Implementation</w:t>
        </w:r>
        <w:r>
          <w:rPr>
            <w:webHidden/>
          </w:rPr>
          <w:tab/>
        </w:r>
        <w:r>
          <w:rPr>
            <w:webHidden/>
          </w:rPr>
          <w:fldChar w:fldCharType="begin"/>
        </w:r>
        <w:r>
          <w:rPr>
            <w:webHidden/>
          </w:rPr>
          <w:instrText xml:space="preserve"> PAGEREF _Toc117694682 \h </w:instrText>
        </w:r>
        <w:r>
          <w:rPr>
            <w:webHidden/>
          </w:rPr>
        </w:r>
        <w:r>
          <w:rPr>
            <w:webHidden/>
          </w:rPr>
          <w:fldChar w:fldCharType="separate"/>
        </w:r>
        <w:r>
          <w:rPr>
            <w:webHidden/>
          </w:rPr>
          <w:t>35</w:t>
        </w:r>
        <w:r>
          <w:rPr>
            <w:webHidden/>
          </w:rPr>
          <w:fldChar w:fldCharType="end"/>
        </w:r>
      </w:hyperlink>
    </w:p>
    <w:p w14:paraId="7375AF90" w14:textId="2283A999" w:rsidR="005C5504" w:rsidRDefault="005C5504">
      <w:pPr>
        <w:pStyle w:val="TOC2"/>
        <w:rPr>
          <w:rFonts w:eastAsiaTheme="minorEastAsia" w:cstheme="minorBidi"/>
          <w:color w:val="auto"/>
          <w:sz w:val="22"/>
          <w:szCs w:val="22"/>
        </w:rPr>
      </w:pPr>
      <w:hyperlink w:anchor="_Toc117694683" w:history="1">
        <w:r w:rsidRPr="00875662">
          <w:rPr>
            <w:rStyle w:val="Hyperlink"/>
          </w:rPr>
          <w:t>Stormwater Management Plan</w:t>
        </w:r>
        <w:r>
          <w:rPr>
            <w:webHidden/>
          </w:rPr>
          <w:tab/>
        </w:r>
        <w:r>
          <w:rPr>
            <w:webHidden/>
          </w:rPr>
          <w:fldChar w:fldCharType="begin"/>
        </w:r>
        <w:r>
          <w:rPr>
            <w:webHidden/>
          </w:rPr>
          <w:instrText xml:space="preserve"> PAGEREF _Toc117694683 \h </w:instrText>
        </w:r>
        <w:r>
          <w:rPr>
            <w:webHidden/>
          </w:rPr>
        </w:r>
        <w:r>
          <w:rPr>
            <w:webHidden/>
          </w:rPr>
          <w:fldChar w:fldCharType="separate"/>
        </w:r>
        <w:r>
          <w:rPr>
            <w:webHidden/>
          </w:rPr>
          <w:t>37</w:t>
        </w:r>
        <w:r>
          <w:rPr>
            <w:webHidden/>
          </w:rPr>
          <w:fldChar w:fldCharType="end"/>
        </w:r>
      </w:hyperlink>
    </w:p>
    <w:p w14:paraId="04DD2EA3" w14:textId="1A058743" w:rsidR="005C5504" w:rsidRDefault="005C5504">
      <w:pPr>
        <w:pStyle w:val="TOC2"/>
        <w:rPr>
          <w:rFonts w:eastAsiaTheme="minorEastAsia" w:cstheme="minorBidi"/>
          <w:color w:val="auto"/>
          <w:sz w:val="22"/>
          <w:szCs w:val="22"/>
        </w:rPr>
      </w:pPr>
      <w:hyperlink w:anchor="_Toc117694684" w:history="1">
        <w:r w:rsidRPr="00875662">
          <w:rPr>
            <w:rStyle w:val="Hyperlink"/>
          </w:rPr>
          <w:t>Recycled Water Treatment and Network Plan (Bairnsdale and Lakes Entrance)</w:t>
        </w:r>
        <w:r>
          <w:rPr>
            <w:webHidden/>
          </w:rPr>
          <w:tab/>
        </w:r>
        <w:r>
          <w:rPr>
            <w:webHidden/>
          </w:rPr>
          <w:fldChar w:fldCharType="begin"/>
        </w:r>
        <w:r>
          <w:rPr>
            <w:webHidden/>
          </w:rPr>
          <w:instrText xml:space="preserve"> PAGEREF _Toc117694684 \h </w:instrText>
        </w:r>
        <w:r>
          <w:rPr>
            <w:webHidden/>
          </w:rPr>
        </w:r>
        <w:r>
          <w:rPr>
            <w:webHidden/>
          </w:rPr>
          <w:fldChar w:fldCharType="separate"/>
        </w:r>
        <w:r>
          <w:rPr>
            <w:webHidden/>
          </w:rPr>
          <w:t>38</w:t>
        </w:r>
        <w:r>
          <w:rPr>
            <w:webHidden/>
          </w:rPr>
          <w:fldChar w:fldCharType="end"/>
        </w:r>
      </w:hyperlink>
    </w:p>
    <w:p w14:paraId="3452D87D" w14:textId="244E7A37" w:rsidR="005C5504" w:rsidRDefault="005C5504">
      <w:pPr>
        <w:pStyle w:val="TOC1"/>
        <w:rPr>
          <w:rFonts w:eastAsiaTheme="minorEastAsia" w:cstheme="minorBidi"/>
          <w:b w:val="0"/>
          <w:color w:val="auto"/>
          <w:sz w:val="22"/>
          <w:szCs w:val="22"/>
        </w:rPr>
      </w:pPr>
      <w:hyperlink w:anchor="_Toc117694685" w:history="1">
        <w:r w:rsidRPr="00875662">
          <w:rPr>
            <w:rStyle w:val="Hyperlink"/>
          </w:rPr>
          <w:t>Improving waterway health</w:t>
        </w:r>
        <w:r>
          <w:rPr>
            <w:webHidden/>
          </w:rPr>
          <w:tab/>
        </w:r>
        <w:r>
          <w:rPr>
            <w:webHidden/>
          </w:rPr>
          <w:fldChar w:fldCharType="begin"/>
        </w:r>
        <w:r>
          <w:rPr>
            <w:webHidden/>
          </w:rPr>
          <w:instrText xml:space="preserve"> PAGEREF _Toc117694685 \h </w:instrText>
        </w:r>
        <w:r>
          <w:rPr>
            <w:webHidden/>
          </w:rPr>
        </w:r>
        <w:r>
          <w:rPr>
            <w:webHidden/>
          </w:rPr>
          <w:fldChar w:fldCharType="separate"/>
        </w:r>
        <w:r>
          <w:rPr>
            <w:webHidden/>
          </w:rPr>
          <w:t>40</w:t>
        </w:r>
        <w:r>
          <w:rPr>
            <w:webHidden/>
          </w:rPr>
          <w:fldChar w:fldCharType="end"/>
        </w:r>
      </w:hyperlink>
    </w:p>
    <w:p w14:paraId="694812DE" w14:textId="46910BF6" w:rsidR="005C5504" w:rsidRDefault="005C5504">
      <w:pPr>
        <w:pStyle w:val="TOC2"/>
        <w:rPr>
          <w:rFonts w:eastAsiaTheme="minorEastAsia" w:cstheme="minorBidi"/>
          <w:color w:val="auto"/>
          <w:sz w:val="22"/>
          <w:szCs w:val="22"/>
        </w:rPr>
      </w:pPr>
      <w:hyperlink w:anchor="_Toc117694686" w:history="1">
        <w:r w:rsidRPr="00875662">
          <w:rPr>
            <w:rStyle w:val="Hyperlink"/>
          </w:rPr>
          <w:t>Lakes Entrance IWM Plan</w:t>
        </w:r>
        <w:r>
          <w:rPr>
            <w:webHidden/>
          </w:rPr>
          <w:tab/>
        </w:r>
        <w:r>
          <w:rPr>
            <w:webHidden/>
          </w:rPr>
          <w:fldChar w:fldCharType="begin"/>
        </w:r>
        <w:r>
          <w:rPr>
            <w:webHidden/>
          </w:rPr>
          <w:instrText xml:space="preserve"> PAGEREF _Toc117694686 \h </w:instrText>
        </w:r>
        <w:r>
          <w:rPr>
            <w:webHidden/>
          </w:rPr>
        </w:r>
        <w:r>
          <w:rPr>
            <w:webHidden/>
          </w:rPr>
          <w:fldChar w:fldCharType="separate"/>
        </w:r>
        <w:r>
          <w:rPr>
            <w:webHidden/>
          </w:rPr>
          <w:t>40</w:t>
        </w:r>
        <w:r>
          <w:rPr>
            <w:webHidden/>
          </w:rPr>
          <w:fldChar w:fldCharType="end"/>
        </w:r>
      </w:hyperlink>
    </w:p>
    <w:p w14:paraId="0D08B83A" w14:textId="5173E158" w:rsidR="005C5504" w:rsidRDefault="005C5504">
      <w:pPr>
        <w:pStyle w:val="TOC2"/>
        <w:rPr>
          <w:rFonts w:eastAsiaTheme="minorEastAsia" w:cstheme="minorBidi"/>
          <w:color w:val="auto"/>
          <w:sz w:val="22"/>
          <w:szCs w:val="22"/>
        </w:rPr>
      </w:pPr>
      <w:hyperlink w:anchor="_Toc117694687" w:history="1">
        <w:r w:rsidRPr="00875662">
          <w:rPr>
            <w:rStyle w:val="Hyperlink"/>
          </w:rPr>
          <w:t>Crooke Street Wetlands</w:t>
        </w:r>
        <w:r>
          <w:rPr>
            <w:webHidden/>
          </w:rPr>
          <w:tab/>
        </w:r>
        <w:r>
          <w:rPr>
            <w:webHidden/>
          </w:rPr>
          <w:fldChar w:fldCharType="begin"/>
        </w:r>
        <w:r>
          <w:rPr>
            <w:webHidden/>
          </w:rPr>
          <w:instrText xml:space="preserve"> PAGEREF _Toc117694687 \h </w:instrText>
        </w:r>
        <w:r>
          <w:rPr>
            <w:webHidden/>
          </w:rPr>
        </w:r>
        <w:r>
          <w:rPr>
            <w:webHidden/>
          </w:rPr>
          <w:fldChar w:fldCharType="separate"/>
        </w:r>
        <w:r>
          <w:rPr>
            <w:webHidden/>
          </w:rPr>
          <w:t>41</w:t>
        </w:r>
        <w:r>
          <w:rPr>
            <w:webHidden/>
          </w:rPr>
          <w:fldChar w:fldCharType="end"/>
        </w:r>
      </w:hyperlink>
    </w:p>
    <w:p w14:paraId="229039ED" w14:textId="466CD5FF" w:rsidR="005C5504" w:rsidRDefault="005C5504">
      <w:pPr>
        <w:pStyle w:val="TOC2"/>
        <w:rPr>
          <w:rFonts w:eastAsiaTheme="minorEastAsia" w:cstheme="minorBidi"/>
          <w:color w:val="auto"/>
          <w:sz w:val="22"/>
          <w:szCs w:val="22"/>
        </w:rPr>
      </w:pPr>
      <w:hyperlink w:anchor="_Toc117694688" w:history="1">
        <w:r w:rsidRPr="00875662">
          <w:rPr>
            <w:rStyle w:val="Hyperlink"/>
          </w:rPr>
          <w:t>Improving the Health of Waterways Flowing into the Gippsland Lakes and the Tambo, Nicholson, and Mitchell Rivers</w:t>
        </w:r>
        <w:r>
          <w:rPr>
            <w:webHidden/>
          </w:rPr>
          <w:tab/>
        </w:r>
        <w:r>
          <w:rPr>
            <w:webHidden/>
          </w:rPr>
          <w:fldChar w:fldCharType="begin"/>
        </w:r>
        <w:r>
          <w:rPr>
            <w:webHidden/>
          </w:rPr>
          <w:instrText xml:space="preserve"> PAGEREF _Toc117694688 \h </w:instrText>
        </w:r>
        <w:r>
          <w:rPr>
            <w:webHidden/>
          </w:rPr>
        </w:r>
        <w:r>
          <w:rPr>
            <w:webHidden/>
          </w:rPr>
          <w:fldChar w:fldCharType="separate"/>
        </w:r>
        <w:r>
          <w:rPr>
            <w:webHidden/>
          </w:rPr>
          <w:t>43</w:t>
        </w:r>
        <w:r>
          <w:rPr>
            <w:webHidden/>
          </w:rPr>
          <w:fldChar w:fldCharType="end"/>
        </w:r>
      </w:hyperlink>
    </w:p>
    <w:p w14:paraId="27C667FE" w14:textId="120AFD10" w:rsidR="002174EC" w:rsidRDefault="00320E71" w:rsidP="002174EC">
      <w:r>
        <w:rPr>
          <w:b/>
          <w:noProof/>
          <w:color w:val="393838" w:themeColor="text2"/>
          <w:sz w:val="28"/>
        </w:rPr>
        <w:fldChar w:fldCharType="end"/>
      </w:r>
    </w:p>
    <w:p w14:paraId="6767DA89" w14:textId="77777777" w:rsidR="00855C73" w:rsidRDefault="00855C73" w:rsidP="002174EC"/>
    <w:p w14:paraId="4E7D0B77" w14:textId="5D9B3ED5" w:rsidR="002174EC" w:rsidRDefault="002174EC" w:rsidP="002174EC">
      <w:pPr>
        <w:sectPr w:rsidR="002174EC" w:rsidSect="002879FF">
          <w:headerReference w:type="even" r:id="rId36"/>
          <w:headerReference w:type="default" r:id="rId37"/>
          <w:footerReference w:type="even" r:id="rId38"/>
          <w:footerReference w:type="default" r:id="rId39"/>
          <w:pgSz w:w="11907" w:h="16840" w:code="9"/>
          <w:pgMar w:top="2268" w:right="1134" w:bottom="1134" w:left="1134" w:header="283" w:footer="283" w:gutter="0"/>
          <w:pgNumType w:start="1"/>
          <w:cols w:space="720"/>
          <w:docGrid w:linePitch="360"/>
        </w:sectPr>
      </w:pPr>
    </w:p>
    <w:p w14:paraId="1D9F30C5" w14:textId="4B5DED11" w:rsidR="00B83743" w:rsidRPr="00E23746" w:rsidRDefault="00ED4F76" w:rsidP="002174EC">
      <w:pPr>
        <w:pStyle w:val="Heading1TopofPage"/>
        <w:framePr w:wrap="around"/>
      </w:pPr>
      <w:bookmarkStart w:id="3" w:name="_Toc105599767"/>
      <w:bookmarkStart w:id="4" w:name="_Toc117694642"/>
      <w:bookmarkEnd w:id="1"/>
      <w:r>
        <w:lastRenderedPageBreak/>
        <w:t>For</w:t>
      </w:r>
      <w:r w:rsidR="003E56ED">
        <w:t>e</w:t>
      </w:r>
      <w:r>
        <w:t>w</w:t>
      </w:r>
      <w:r w:rsidR="003E56ED">
        <w:t>o</w:t>
      </w:r>
      <w:r>
        <w:t>rd</w:t>
      </w:r>
      <w:bookmarkEnd w:id="3"/>
      <w:bookmarkEnd w:id="4"/>
    </w:p>
    <w:p w14:paraId="73D2D1EA" w14:textId="398C1E09" w:rsidR="00967322" w:rsidRDefault="008A31FA" w:rsidP="002A10BB">
      <w:pPr>
        <w:pStyle w:val="IntroFeatureText"/>
      </w:pPr>
      <w:r w:rsidRPr="008A31FA">
        <w:t xml:space="preserve">On behalf of the East Gippsland Integrated Water Management (IWM) Forum members, I am pleased to present the second East Gippsland IWM Strategic Directions Statement (SDS). The East Gippsland IWM forum was established in 2017. The forum was established to identify and implement IWM projects in the region. The SDS has been prepared by the Department of Environment, Land, Water, and Planning and East Gippsland Water, in collaboration with Traditional Owners and our regional partners. </w:t>
      </w:r>
    </w:p>
    <w:p w14:paraId="0D7078CF" w14:textId="5C8AA695" w:rsidR="006045BA" w:rsidRDefault="006045BA" w:rsidP="006045BA">
      <w:pPr>
        <w:pStyle w:val="BodyText"/>
      </w:pPr>
      <w:r>
        <w:t xml:space="preserve">The past five years have been some of the most challenging times experienced by our environment and communities across the region. We experienced one of the worst droughts recorded, followed by landscape scale bushfires that burnt more than half the region. The impact of this was compounded by the effects of the coronavirus pandemic, and more recently we have seen large rain events and continuous flooding across the region. </w:t>
      </w:r>
    </w:p>
    <w:p w14:paraId="164A227F" w14:textId="006BFF3A" w:rsidR="006045BA" w:rsidRDefault="006045BA" w:rsidP="006045BA">
      <w:pPr>
        <w:pStyle w:val="BodyText"/>
      </w:pPr>
      <w:r>
        <w:t xml:space="preserve">East Gippsland is a unique and beautiful region, with a spectacular environment that has everything from mountains, forests, waterways, floodplains, beaches and the iconic Gippsland Lakes. The region is a popular tourist and holiday destination and provides a great lifestyle for those lucky enough to live in this part of Victoria. </w:t>
      </w:r>
    </w:p>
    <w:p w14:paraId="44B919D6" w14:textId="61351355" w:rsidR="006045BA" w:rsidRDefault="006045BA" w:rsidP="006045BA">
      <w:pPr>
        <w:pStyle w:val="BodyText"/>
      </w:pPr>
      <w:r>
        <w:t xml:space="preserve">We know that the liveability of our regional towns and cities and the health of our environment and economy depend on water. Traditional Owners have long known that water is essential to life and water continues to hold significant cultural and spiritual value. Water is also the lifeblood that supports tourism and recreation, as well as agriculture, horticulture, grazing, forestry, commercial and recreational fisheries, manufacturing and food processing, and residential development to accommodate a growing population. </w:t>
      </w:r>
    </w:p>
    <w:p w14:paraId="0C210442" w14:textId="77777777" w:rsidR="006045BA" w:rsidRDefault="006045BA" w:rsidP="006045BA">
      <w:pPr>
        <w:pStyle w:val="BodyText"/>
      </w:pPr>
      <w:r>
        <w:t xml:space="preserve">East Gippsland’s natural environment and unique waterways need to be protected for future generations, which requires our commitment and a collaborative approach from us all. The East Gippsland Integrated Water Management Forum plays a crucial role in driving a collaborative and integrated approach to water management to adapt to change and maximise value across the whole water cycle. IWM allows us to optimise the environmental, cultural, social and economic outcomes for our communities. </w:t>
      </w:r>
    </w:p>
    <w:p w14:paraId="2CD14782" w14:textId="220EAF49" w:rsidR="006045BA" w:rsidRDefault="006045BA" w:rsidP="006045BA">
      <w:pPr>
        <w:pStyle w:val="BodyText"/>
      </w:pPr>
      <w:r>
        <w:t xml:space="preserve">Our recent experiences and the need to accommodate current and future economic and population growth have highlighted climate change adaptation, community resilience and supporting the initiatives of Traditional Owners as priorities. We have worked together to develop IWM opportunities for the region, which fall under the themes: </w:t>
      </w:r>
    </w:p>
    <w:p w14:paraId="73B10071" w14:textId="77777777" w:rsidR="006045BA" w:rsidRDefault="006045BA" w:rsidP="006045BA">
      <w:pPr>
        <w:pStyle w:val="BodyText"/>
      </w:pPr>
    </w:p>
    <w:p w14:paraId="250AFFF8" w14:textId="77777777" w:rsidR="006045BA" w:rsidRDefault="006045BA" w:rsidP="006045BA">
      <w:pPr>
        <w:pStyle w:val="BodyText"/>
        <w:numPr>
          <w:ilvl w:val="0"/>
          <w:numId w:val="18"/>
        </w:numPr>
      </w:pPr>
      <w:r>
        <w:lastRenderedPageBreak/>
        <w:t xml:space="preserve">water for Traditional Owners </w:t>
      </w:r>
    </w:p>
    <w:p w14:paraId="06C40AC2" w14:textId="77777777" w:rsidR="006045BA" w:rsidRDefault="006045BA" w:rsidP="006045BA">
      <w:pPr>
        <w:pStyle w:val="BodyText"/>
        <w:numPr>
          <w:ilvl w:val="0"/>
          <w:numId w:val="18"/>
        </w:numPr>
      </w:pPr>
      <w:r>
        <w:t xml:space="preserve">improving water management in our townships </w:t>
      </w:r>
    </w:p>
    <w:p w14:paraId="32CD38BA" w14:textId="2199C3B4" w:rsidR="006045BA" w:rsidRDefault="006045BA" w:rsidP="006045BA">
      <w:pPr>
        <w:pStyle w:val="BodyText"/>
        <w:numPr>
          <w:ilvl w:val="0"/>
          <w:numId w:val="18"/>
        </w:numPr>
      </w:pPr>
      <w:r>
        <w:t xml:space="preserve">improving waterway health. </w:t>
      </w:r>
    </w:p>
    <w:p w14:paraId="2F44786F" w14:textId="214F0562" w:rsidR="006045BA" w:rsidRDefault="006045BA" w:rsidP="006045BA">
      <w:pPr>
        <w:pStyle w:val="BodyText"/>
      </w:pPr>
      <w:r>
        <w:t xml:space="preserve">I am proud to present the updated SDS for the East Gippsland IWM Forum. I am pleased to welcome Bec Hemming as the new Chair of the East Gippsland IWM Forum. Bec has been instrumental in driving IWM in East Gippsland and strong relationships across the region. I know that I am leaving the Forum in very capable hands. </w:t>
      </w:r>
    </w:p>
    <w:p w14:paraId="2B71B856" w14:textId="70CD045A" w:rsidR="004C5C4C" w:rsidRDefault="006045BA" w:rsidP="006045BA">
      <w:pPr>
        <w:pStyle w:val="BodyText"/>
      </w:pPr>
      <w:r>
        <w:t xml:space="preserve">I would like to acknowledge the outstanding commitment and contribution of the East Gippsland forum partners who have demonstrated true collaboration to develop and deliver on IWM initiatives as well providing the strategic direction for the next few years. We know the challenges that we face in East </w:t>
      </w:r>
      <w:proofErr w:type="gramStart"/>
      <w:r>
        <w:t>Gippsland</w:t>
      </w:r>
      <w:proofErr w:type="gramEnd"/>
      <w:r>
        <w:t xml:space="preserve"> but we also have the benefits of past experiences and established relationships. I know that together, we can make decisions today that we will celebrate in the future.</w:t>
      </w:r>
    </w:p>
    <w:p w14:paraId="6F984891" w14:textId="415592D3" w:rsidR="00E60B1F" w:rsidRPr="00E60B1F" w:rsidRDefault="00E60B1F" w:rsidP="00E60B1F">
      <w:pPr>
        <w:pStyle w:val="BodyText"/>
        <w:rPr>
          <w:b/>
          <w:bCs/>
        </w:rPr>
      </w:pPr>
      <w:r w:rsidRPr="00E60B1F">
        <w:rPr>
          <w:b/>
          <w:bCs/>
        </w:rPr>
        <w:t>S</w:t>
      </w:r>
      <w:r w:rsidR="006C01C5">
        <w:rPr>
          <w:b/>
          <w:bCs/>
        </w:rPr>
        <w:t>teve McKenzie</w:t>
      </w:r>
    </w:p>
    <w:p w14:paraId="4E4CDBFE" w14:textId="5E8F2965" w:rsidR="00E60B1F" w:rsidRDefault="006C01C5" w:rsidP="00E60B1F">
      <w:pPr>
        <w:pStyle w:val="BodyText"/>
      </w:pPr>
      <w:r>
        <w:t xml:space="preserve">Out-going </w:t>
      </w:r>
      <w:r w:rsidR="00E60B1F">
        <w:t>Chair</w:t>
      </w:r>
      <w:r>
        <w:t xml:space="preserve"> of the East Gippsland</w:t>
      </w:r>
      <w:r w:rsidR="00E60B1F">
        <w:t xml:space="preserve"> IWM Forum</w:t>
      </w:r>
    </w:p>
    <w:p w14:paraId="4C6351E6" w14:textId="1771B6AD" w:rsidR="00E60B1F" w:rsidRDefault="00FB3A77" w:rsidP="00E60B1F">
      <w:pPr>
        <w:pStyle w:val="Heading1TopofPage"/>
        <w:framePr w:wrap="around"/>
      </w:pPr>
      <w:bookmarkStart w:id="5" w:name="_Toc105599768"/>
      <w:bookmarkStart w:id="6" w:name="_Toc117694643"/>
      <w:r>
        <w:lastRenderedPageBreak/>
        <w:t>Executive summary</w:t>
      </w:r>
      <w:bookmarkEnd w:id="5"/>
      <w:bookmarkEnd w:id="6"/>
    </w:p>
    <w:p w14:paraId="59BDE55E" w14:textId="386DF54E" w:rsidR="00FB3A77" w:rsidRDefault="0017527E" w:rsidP="00905016">
      <w:pPr>
        <w:pStyle w:val="IntroFeatureText"/>
      </w:pPr>
      <w:r w:rsidRPr="0017527E">
        <w:t>The</w:t>
      </w:r>
      <w:r w:rsidR="00E2347C">
        <w:t xml:space="preserve"> </w:t>
      </w:r>
      <w:r w:rsidR="00E2347C" w:rsidRPr="005663B3">
        <w:t>Integrated Water Management Framework for Victoria</w:t>
      </w:r>
      <w:r w:rsidR="00E2347C" w:rsidRPr="00E2347C">
        <w:rPr>
          <w:i/>
          <w:iCs/>
        </w:rPr>
        <w:t xml:space="preserve"> </w:t>
      </w:r>
      <w:r w:rsidR="00E2347C" w:rsidRPr="00E2347C">
        <w:t>(2017) is designed to help water managers and stakeholders work together to improve how the water cycle contributes to the liveability of towns and cities in Victoria, with communities at the centre of decision making.</w:t>
      </w:r>
    </w:p>
    <w:p w14:paraId="4DDE8AF5" w14:textId="3C25B61D" w:rsidR="007327DF" w:rsidRDefault="00A86C70" w:rsidP="00A86C70">
      <w:pPr>
        <w:pStyle w:val="BodyText"/>
        <w:rPr>
          <w:lang w:eastAsia="en-AU"/>
        </w:rPr>
      </w:pPr>
      <w:r>
        <w:rPr>
          <w:lang w:eastAsia="en-AU"/>
        </w:rPr>
        <w:t xml:space="preserve">The East Gippsland Integrated Water Management Forum is one of 10 regional integrated water management (IWM) forums across Victoria that are realising the local implementation of the framework </w:t>
      </w:r>
    </w:p>
    <w:p w14:paraId="502D4348" w14:textId="220CC99C" w:rsidR="00FF0690" w:rsidRDefault="00753B4F" w:rsidP="00FF0690">
      <w:pPr>
        <w:pStyle w:val="Heading2"/>
      </w:pPr>
      <w:bookmarkStart w:id="7" w:name="_Toc105599769"/>
      <w:bookmarkStart w:id="8" w:name="_Toc117694644"/>
      <w:r>
        <w:t>Vision</w:t>
      </w:r>
      <w:bookmarkEnd w:id="7"/>
      <w:bookmarkEnd w:id="8"/>
    </w:p>
    <w:p w14:paraId="7C2C7A76" w14:textId="09E830DF" w:rsidR="007327DF" w:rsidRDefault="00644EB6" w:rsidP="00644EB6">
      <w:pPr>
        <w:pStyle w:val="BodyText"/>
        <w:rPr>
          <w:lang w:eastAsia="en-AU"/>
        </w:rPr>
      </w:pPr>
      <w:r w:rsidRPr="00644EB6">
        <w:rPr>
          <w:lang w:eastAsia="en-AU"/>
        </w:rPr>
        <w:t xml:space="preserve">Innovative and collaborative water management to maximise the </w:t>
      </w:r>
      <w:r w:rsidR="002F5D17" w:rsidRPr="002F5D17">
        <w:rPr>
          <w:lang w:eastAsia="en-AU"/>
        </w:rPr>
        <w:t>resilience, liveability and economic prosperity of East Gippsland communities, the connected waterways and wetlands, and the Gippsland Lakes.</w:t>
      </w:r>
    </w:p>
    <w:p w14:paraId="1C3B5058" w14:textId="332E6242" w:rsidR="0052460C" w:rsidRDefault="002F5D17" w:rsidP="003C5654">
      <w:pPr>
        <w:pStyle w:val="Heading2"/>
      </w:pPr>
      <w:bookmarkStart w:id="9" w:name="_Toc117694645"/>
      <w:bookmarkStart w:id="10" w:name="_Toc105599770"/>
      <w:r>
        <w:t>Progress to date</w:t>
      </w:r>
      <w:bookmarkEnd w:id="9"/>
      <w:r>
        <w:t xml:space="preserve"> </w:t>
      </w:r>
      <w:bookmarkEnd w:id="10"/>
    </w:p>
    <w:p w14:paraId="1E695E05" w14:textId="77777777" w:rsidR="00DE73DE" w:rsidRDefault="00DE73DE" w:rsidP="00DE73DE">
      <w:pPr>
        <w:pStyle w:val="BodyText"/>
      </w:pPr>
      <w:r>
        <w:t xml:space="preserve">The 2018 East Gippsland IWM Forum Strategic Directions Statement (SDS) articulated the collaborative intent and shared agreement of all stakeholders involved in the forum and identified 10 projects which reflected the forum’s initial priorities and opportunities. Many of these projects are underway or have been completed, including the IWM Plan for Bairnsdale, which is serving as a template for the Lakes Entrance IWM Plan, and the Supporting Aboriginal Water Values in East Gippsland project, which is informing Traditional Owner acknowledgement, respect, and inclusion in developing IWM projects in both the East Gippsland and neighbouring Gippsland IWM forums. </w:t>
      </w:r>
    </w:p>
    <w:p w14:paraId="24F5AAC4" w14:textId="08282651" w:rsidR="00D83716" w:rsidRDefault="00D83716" w:rsidP="00DE73DE">
      <w:pPr>
        <w:pStyle w:val="BodyText"/>
      </w:pPr>
      <w:r w:rsidRPr="00D83716">
        <w:t xml:space="preserve">This 2022 update provides a progress report on the forum’s activity, its changing priorities, and future opportunities. It describes the water security challenges and opportunities of the region, sets a strategic direction for the next few years, and outlines the ‘best </w:t>
      </w:r>
      <w:proofErr w:type="gramStart"/>
      <w:r w:rsidRPr="00D83716">
        <w:t>endeavours’</w:t>
      </w:r>
      <w:proofErr w:type="gramEnd"/>
      <w:r w:rsidRPr="00D83716">
        <w:t xml:space="preserve"> or ways in which IWM is and will be applied through projects proposed, in progress or completed for the region.</w:t>
      </w:r>
    </w:p>
    <w:p w14:paraId="724BAD3A" w14:textId="6E82D033" w:rsidR="002F5D17" w:rsidRDefault="002F5D17" w:rsidP="002F5D17">
      <w:pPr>
        <w:pStyle w:val="Heading2"/>
      </w:pPr>
      <w:bookmarkStart w:id="11" w:name="_Toc117694646"/>
      <w:bookmarkStart w:id="12" w:name="_Hlk116374978"/>
      <w:r>
        <w:t xml:space="preserve">Key </w:t>
      </w:r>
      <w:r w:rsidR="004F4E47">
        <w:t>a</w:t>
      </w:r>
      <w:r>
        <w:t>reas</w:t>
      </w:r>
      <w:bookmarkEnd w:id="11"/>
      <w:r>
        <w:t xml:space="preserve"> </w:t>
      </w:r>
    </w:p>
    <w:p w14:paraId="736F1AE9" w14:textId="7F3052FB" w:rsidR="00C92672" w:rsidRDefault="00C92672" w:rsidP="00C92672">
      <w:pPr>
        <w:pStyle w:val="BodyText"/>
      </w:pPr>
      <w:r>
        <w:t xml:space="preserve">The forum’s experience since establishment has highlighted the need to address the following key areas: </w:t>
      </w:r>
      <w:bookmarkEnd w:id="12"/>
    </w:p>
    <w:p w14:paraId="2EB97B37" w14:textId="77777777" w:rsidR="0060303E" w:rsidRDefault="00C92672" w:rsidP="00C92672">
      <w:pPr>
        <w:pStyle w:val="BodyText"/>
        <w:numPr>
          <w:ilvl w:val="0"/>
          <w:numId w:val="19"/>
        </w:numPr>
      </w:pPr>
      <w:r>
        <w:t xml:space="preserve">Traditional Owners are taking an increasingly active and leading role in water management. Their needs, impacts and opportunities should be acknowledged, respected, and enhanced in all IWM projects </w:t>
      </w:r>
    </w:p>
    <w:p w14:paraId="6258110B" w14:textId="77777777" w:rsidR="0060303E" w:rsidRDefault="00C92672" w:rsidP="00C92672">
      <w:pPr>
        <w:pStyle w:val="BodyText"/>
        <w:numPr>
          <w:ilvl w:val="0"/>
          <w:numId w:val="19"/>
        </w:numPr>
      </w:pPr>
      <w:r>
        <w:lastRenderedPageBreak/>
        <w:t xml:space="preserve">climate change adaptation is a priority, especially preparing for future impacts and extreme events </w:t>
      </w:r>
    </w:p>
    <w:p w14:paraId="1A859CD1" w14:textId="12DDBC0B" w:rsidR="0060303E" w:rsidRDefault="00C92672" w:rsidP="00C92672">
      <w:pPr>
        <w:pStyle w:val="BodyText"/>
        <w:numPr>
          <w:ilvl w:val="0"/>
          <w:numId w:val="19"/>
        </w:numPr>
      </w:pPr>
      <w:r>
        <w:t xml:space="preserve">sustainable population growth requires water-sensitive planning, building and rebuilding. Growth in a water-constrained future requires a more diverse range of water sources and better use of existing resources </w:t>
      </w:r>
    </w:p>
    <w:p w14:paraId="18E48D03" w14:textId="6E611F8D" w:rsidR="000E09A2" w:rsidRDefault="00C92672" w:rsidP="000E09A2">
      <w:pPr>
        <w:pStyle w:val="BodyText"/>
        <w:numPr>
          <w:ilvl w:val="0"/>
          <w:numId w:val="19"/>
        </w:numPr>
      </w:pPr>
      <w:r>
        <w:t>East Gippsland’s natural environment and unique waterways need to be maintained and improved for future generations.</w:t>
      </w:r>
    </w:p>
    <w:p w14:paraId="55C73E65" w14:textId="59E09FC3" w:rsidR="000E09A2" w:rsidRDefault="000E09A2" w:rsidP="000E09A2">
      <w:pPr>
        <w:pStyle w:val="Heading2"/>
      </w:pPr>
      <w:bookmarkStart w:id="13" w:name="_Toc117694647"/>
      <w:r>
        <w:t>Themes and IWM opportunities</w:t>
      </w:r>
      <w:bookmarkEnd w:id="13"/>
      <w:r>
        <w:t xml:space="preserve"> </w:t>
      </w:r>
    </w:p>
    <w:p w14:paraId="10F46D07" w14:textId="2ABF255F" w:rsidR="00036E6B" w:rsidRDefault="00036E6B" w:rsidP="00036E6B">
      <w:pPr>
        <w:pStyle w:val="BodyText"/>
      </w:pPr>
      <w:r>
        <w:t xml:space="preserve">Eight priority IWM opportunities have been identified in the region, and these have been grouped into three themes that respond to the key challenges outlined above: </w:t>
      </w:r>
    </w:p>
    <w:p w14:paraId="7F5489C4" w14:textId="17911768" w:rsidR="001F3CA9" w:rsidRPr="00441AA7" w:rsidRDefault="002E416F" w:rsidP="00441AA7">
      <w:pPr>
        <w:pStyle w:val="Heading3"/>
      </w:pPr>
      <w:bookmarkStart w:id="14" w:name="_Toc117694648"/>
      <w:bookmarkStart w:id="15" w:name="_Toc105599771"/>
      <w:r w:rsidRPr="00441AA7">
        <w:t>Water for Traditional Owners</w:t>
      </w:r>
      <w:bookmarkEnd w:id="14"/>
      <w:r w:rsidRPr="00441AA7">
        <w:t xml:space="preserve"> </w:t>
      </w:r>
      <w:bookmarkEnd w:id="15"/>
    </w:p>
    <w:p w14:paraId="5B2E31FA" w14:textId="43469AD8" w:rsidR="001F3CA9" w:rsidRDefault="001F3CA9" w:rsidP="001F3CA9">
      <w:pPr>
        <w:pStyle w:val="BodyText"/>
        <w:numPr>
          <w:ilvl w:val="0"/>
          <w:numId w:val="20"/>
        </w:numPr>
      </w:pPr>
      <w:r>
        <w:t xml:space="preserve">Supporting Aboriginal Water Values in East Gippsland </w:t>
      </w:r>
    </w:p>
    <w:p w14:paraId="6DD869F2" w14:textId="129D69B9" w:rsidR="0014313A" w:rsidRPr="00D57F3B" w:rsidRDefault="0014313A" w:rsidP="00441AA7">
      <w:pPr>
        <w:pStyle w:val="Heading3"/>
      </w:pPr>
      <w:bookmarkStart w:id="16" w:name="_Hlk116375236"/>
      <w:bookmarkStart w:id="17" w:name="_Toc117694649"/>
      <w:r>
        <w:t>Improving water management in our townships</w:t>
      </w:r>
      <w:bookmarkEnd w:id="16"/>
      <w:bookmarkEnd w:id="17"/>
    </w:p>
    <w:p w14:paraId="6D8A87DE" w14:textId="77777777" w:rsidR="0014313A" w:rsidRDefault="001F3CA9" w:rsidP="001F3CA9">
      <w:pPr>
        <w:pStyle w:val="BodyText"/>
        <w:numPr>
          <w:ilvl w:val="0"/>
          <w:numId w:val="20"/>
        </w:numPr>
      </w:pPr>
      <w:r>
        <w:t xml:space="preserve">Supporting Communities to Achieve Their Objectives Around Water </w:t>
      </w:r>
    </w:p>
    <w:p w14:paraId="1EA83E66" w14:textId="77777777" w:rsidR="0014313A" w:rsidRDefault="001F3CA9" w:rsidP="001F3CA9">
      <w:pPr>
        <w:pStyle w:val="BodyText"/>
        <w:numPr>
          <w:ilvl w:val="0"/>
          <w:numId w:val="20"/>
        </w:numPr>
      </w:pPr>
      <w:r>
        <w:t xml:space="preserve">Bairnsdale IWM Plan Implementation </w:t>
      </w:r>
    </w:p>
    <w:p w14:paraId="70E25B26" w14:textId="77777777" w:rsidR="0014313A" w:rsidRDefault="001F3CA9" w:rsidP="001F3CA9">
      <w:pPr>
        <w:pStyle w:val="BodyText"/>
        <w:numPr>
          <w:ilvl w:val="0"/>
          <w:numId w:val="20"/>
        </w:numPr>
      </w:pPr>
      <w:r>
        <w:t xml:space="preserve">Stormwater Management Plan </w:t>
      </w:r>
    </w:p>
    <w:p w14:paraId="740A5C4E" w14:textId="600CD16C" w:rsidR="001F3CA9" w:rsidRDefault="001F3CA9" w:rsidP="001F3CA9">
      <w:pPr>
        <w:pStyle w:val="BodyText"/>
        <w:numPr>
          <w:ilvl w:val="0"/>
          <w:numId w:val="20"/>
        </w:numPr>
      </w:pPr>
      <w:r>
        <w:t xml:space="preserve">Recycled Water Treatment and Network Plan (Bairnsdale and Lakes Entrance) </w:t>
      </w:r>
    </w:p>
    <w:p w14:paraId="4C8408FB" w14:textId="008E119C" w:rsidR="001F3CA9" w:rsidRDefault="0014313A" w:rsidP="00441AA7">
      <w:pPr>
        <w:pStyle w:val="Heading3"/>
      </w:pPr>
      <w:bookmarkStart w:id="18" w:name="_Toc117694650"/>
      <w:r>
        <w:t>Improving waterway health</w:t>
      </w:r>
      <w:bookmarkEnd w:id="18"/>
      <w:r>
        <w:t xml:space="preserve"> </w:t>
      </w:r>
    </w:p>
    <w:p w14:paraId="5698944A" w14:textId="77777777" w:rsidR="0008337B" w:rsidRDefault="001F3CA9" w:rsidP="00527C56">
      <w:pPr>
        <w:pStyle w:val="BodyText"/>
        <w:numPr>
          <w:ilvl w:val="0"/>
          <w:numId w:val="20"/>
        </w:numPr>
      </w:pPr>
      <w:r>
        <w:t xml:space="preserve">Lakes Entrance IWM Plan </w:t>
      </w:r>
    </w:p>
    <w:p w14:paraId="68E7AA2F" w14:textId="77777777" w:rsidR="00D57F3B" w:rsidRDefault="001F3CA9" w:rsidP="001F3CA9">
      <w:pPr>
        <w:pStyle w:val="BodyText"/>
        <w:numPr>
          <w:ilvl w:val="0"/>
          <w:numId w:val="20"/>
        </w:numPr>
      </w:pPr>
      <w:r>
        <w:t xml:space="preserve">Crooke Street Wetlands and Stormwater Management </w:t>
      </w:r>
    </w:p>
    <w:p w14:paraId="615C2A5B" w14:textId="0E839494" w:rsidR="00FD235F" w:rsidRDefault="001F3CA9" w:rsidP="001F3CA9">
      <w:pPr>
        <w:pStyle w:val="BodyText"/>
        <w:numPr>
          <w:ilvl w:val="0"/>
          <w:numId w:val="20"/>
        </w:numPr>
      </w:pPr>
      <w:r>
        <w:t>Improving the Health of Waterways Flowing into the Gippsland Lakes including the Tambo, Nicholson, and Mitchell Rivers</w:t>
      </w:r>
    </w:p>
    <w:p w14:paraId="45DC3ECB" w14:textId="53E837BA" w:rsidR="00A330A3" w:rsidRDefault="00AA677F" w:rsidP="0052460C">
      <w:pPr>
        <w:pStyle w:val="BodyText"/>
      </w:pPr>
      <w:r w:rsidRPr="00AA677F">
        <w:rPr>
          <w:noProof/>
        </w:rPr>
        <w:lastRenderedPageBreak/>
        <w:drawing>
          <wp:inline distT="0" distB="0" distL="0" distR="0" wp14:anchorId="0EAEBF34" wp14:editId="6CE5E64B">
            <wp:extent cx="5982535" cy="3372321"/>
            <wp:effectExtent l="0" t="0" r="0" b="0"/>
            <wp:docPr id="1" name="Picture 1" descr="A map of the East Gippsland region, showing the geographical location of all East Gippsland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East Gippsland region, showing the geographical location of all East Gippsland IWM opportunities"/>
                    <pic:cNvPicPr/>
                  </pic:nvPicPr>
                  <pic:blipFill>
                    <a:blip r:embed="rId40"/>
                    <a:stretch>
                      <a:fillRect/>
                    </a:stretch>
                  </pic:blipFill>
                  <pic:spPr>
                    <a:xfrm>
                      <a:off x="0" y="0"/>
                      <a:ext cx="5982535" cy="3372321"/>
                    </a:xfrm>
                    <a:prstGeom prst="rect">
                      <a:avLst/>
                    </a:prstGeom>
                  </pic:spPr>
                </pic:pic>
              </a:graphicData>
            </a:graphic>
          </wp:inline>
        </w:drawing>
      </w:r>
    </w:p>
    <w:p w14:paraId="0DAAC4A1" w14:textId="7F526ABF" w:rsidR="0052460C" w:rsidRDefault="002518DC" w:rsidP="00D1730F">
      <w:pPr>
        <w:pStyle w:val="CaptionImageorFigure"/>
      </w:pPr>
      <w:r>
        <w:t xml:space="preserve">Figure 1: </w:t>
      </w:r>
      <w:r w:rsidR="0052460C" w:rsidRPr="0052460C">
        <w:t>Locations of IWM opportunities across the</w:t>
      </w:r>
      <w:r w:rsidR="00AA677F">
        <w:t xml:space="preserve"> East Gippsland</w:t>
      </w:r>
      <w:r w:rsidR="0052460C" w:rsidRPr="0052460C">
        <w:t xml:space="preserve"> region. Locations are approximate.</w:t>
      </w:r>
    </w:p>
    <w:p w14:paraId="34370B8E" w14:textId="6357A454" w:rsidR="00F557ED" w:rsidRDefault="00330954" w:rsidP="0039197B">
      <w:pPr>
        <w:pStyle w:val="Heading1TopofPage"/>
        <w:framePr w:wrap="around"/>
      </w:pPr>
      <w:bookmarkStart w:id="19" w:name="_Toc105599774"/>
      <w:bookmarkStart w:id="20" w:name="_Toc117694651"/>
      <w:r>
        <w:lastRenderedPageBreak/>
        <w:t>East Gippsland Integrated Water Management Forum</w:t>
      </w:r>
      <w:bookmarkEnd w:id="19"/>
      <w:bookmarkEnd w:id="20"/>
    </w:p>
    <w:p w14:paraId="628F1B86" w14:textId="24A979C7" w:rsidR="00F640CB" w:rsidRDefault="00F640CB" w:rsidP="00F640CB">
      <w:pPr>
        <w:pStyle w:val="Heading2"/>
      </w:pPr>
      <w:bookmarkStart w:id="21" w:name="_Toc105599775"/>
      <w:bookmarkStart w:id="22" w:name="_Toc117694652"/>
      <w:r>
        <w:t>Strategic Directions Statement 2022 summary</w:t>
      </w:r>
      <w:bookmarkEnd w:id="21"/>
      <w:bookmarkEnd w:id="22"/>
    </w:p>
    <w:p w14:paraId="79BF5237" w14:textId="444896F0" w:rsidR="00F640CB" w:rsidRPr="00EC5FDC" w:rsidRDefault="00EC5FDC" w:rsidP="00EC5FDC">
      <w:pPr>
        <w:pStyle w:val="BodyText"/>
      </w:pPr>
      <w:r w:rsidRPr="00EC5FDC">
        <w:t>We work collaboratively with partners across the water cycle to find new ways to share resources and conserve water for multiple community and environmental benefits.</w:t>
      </w:r>
    </w:p>
    <w:p w14:paraId="7333E2B9" w14:textId="37C0B34A" w:rsidR="00490943" w:rsidRPr="007E0493" w:rsidRDefault="00404EAD" w:rsidP="00AF7C79">
      <w:pPr>
        <w:pStyle w:val="ListNumber"/>
        <w:numPr>
          <w:ilvl w:val="0"/>
          <w:numId w:val="15"/>
        </w:numPr>
        <w:rPr>
          <w:b/>
          <w:bCs/>
        </w:rPr>
      </w:pPr>
      <w:r>
        <w:rPr>
          <w:b/>
          <w:bCs/>
        </w:rPr>
        <w:t>Supporting Aboriginal Water Values in East Gippsland</w:t>
      </w:r>
    </w:p>
    <w:p w14:paraId="4C5DB495" w14:textId="65CA39CD" w:rsidR="00EC5FDC" w:rsidRDefault="00894FB9" w:rsidP="00C325C9">
      <w:pPr>
        <w:pStyle w:val="BodyTextIndented"/>
      </w:pPr>
      <w:r>
        <w:t>Support for and acknowledgement and enhancement of Aboriginal values around water</w:t>
      </w:r>
      <w:r w:rsidR="00490943">
        <w:t>.</w:t>
      </w:r>
    </w:p>
    <w:p w14:paraId="71250797" w14:textId="3679DF1B" w:rsidR="00A12E71" w:rsidRPr="007E0493" w:rsidRDefault="007065FE" w:rsidP="00A12E71">
      <w:pPr>
        <w:pStyle w:val="ListNumber"/>
        <w:rPr>
          <w:b/>
          <w:bCs/>
        </w:rPr>
      </w:pPr>
      <w:r>
        <w:rPr>
          <w:b/>
          <w:bCs/>
        </w:rPr>
        <w:t xml:space="preserve">Supporting Communities to Achieve Their Objectives Around Water </w:t>
      </w:r>
    </w:p>
    <w:p w14:paraId="4D13C9E2" w14:textId="5DAD38B8" w:rsidR="00A12E71" w:rsidRDefault="0092320B" w:rsidP="001E513B">
      <w:pPr>
        <w:pStyle w:val="BodyTextIndented"/>
      </w:pPr>
      <w:r w:rsidRPr="0092320B">
        <w:t>Building community resilience by bringing IWM planning and opportunities into drought, fire and flood recovery and prevention.</w:t>
      </w:r>
    </w:p>
    <w:p w14:paraId="34A130C7" w14:textId="4FF0E1BE" w:rsidR="00A12E71" w:rsidRPr="007E0493" w:rsidRDefault="00AE3F0B" w:rsidP="00A12E71">
      <w:pPr>
        <w:pStyle w:val="ListNumber"/>
        <w:rPr>
          <w:b/>
          <w:bCs/>
        </w:rPr>
      </w:pPr>
      <w:r w:rsidRPr="00AE3F0B">
        <w:rPr>
          <w:b/>
          <w:bCs/>
        </w:rPr>
        <w:t>Bairnsdale IWM Plan Implementation</w:t>
      </w:r>
    </w:p>
    <w:p w14:paraId="714D6709" w14:textId="77777777" w:rsidR="005A76E4" w:rsidRDefault="005A76E4" w:rsidP="005A76E4">
      <w:pPr>
        <w:pStyle w:val="BodyTextIndented"/>
      </w:pPr>
      <w:r>
        <w:t xml:space="preserve">Funding, further developing and implementing priority projects identified in the plan. </w:t>
      </w:r>
    </w:p>
    <w:p w14:paraId="05D8583E" w14:textId="4D276CD0" w:rsidR="00A12E71" w:rsidRPr="007E0493" w:rsidRDefault="005A76E4" w:rsidP="00A12E71">
      <w:pPr>
        <w:pStyle w:val="ListNumber"/>
        <w:rPr>
          <w:b/>
          <w:bCs/>
        </w:rPr>
      </w:pPr>
      <w:r w:rsidRPr="005A76E4">
        <w:rPr>
          <w:b/>
          <w:bCs/>
        </w:rPr>
        <w:t>Stormwater Management Plan</w:t>
      </w:r>
    </w:p>
    <w:p w14:paraId="368D27CD" w14:textId="006AAE50" w:rsidR="001E513B" w:rsidRDefault="004F49EF" w:rsidP="003C3ECD">
      <w:pPr>
        <w:pStyle w:val="BodyTextIndented"/>
      </w:pPr>
      <w:r w:rsidRPr="004F49EF">
        <w:t xml:space="preserve">Drawing on the Bairnsdale IWM Plan work to create a plan to improve stormwater management in towns including Paynesville, Lakes Entrance, Tambo Bluff, Marlo and Eagle Point. </w:t>
      </w:r>
    </w:p>
    <w:p w14:paraId="57BDF908" w14:textId="45100DF0" w:rsidR="00A12E71" w:rsidRPr="003C3ECD" w:rsidRDefault="004F49EF" w:rsidP="00A12E71">
      <w:pPr>
        <w:pStyle w:val="ListNumber"/>
        <w:rPr>
          <w:b/>
          <w:bCs/>
        </w:rPr>
      </w:pPr>
      <w:r w:rsidRPr="004F49EF">
        <w:rPr>
          <w:b/>
          <w:bCs/>
        </w:rPr>
        <w:t>Recycled Water Treatment and Network Plan (Bairnsdale and Lakes Entrance)</w:t>
      </w:r>
    </w:p>
    <w:p w14:paraId="0722C0AB" w14:textId="276A3C0C" w:rsidR="001E513B" w:rsidRDefault="00FE0864" w:rsidP="001E513B">
      <w:pPr>
        <w:pStyle w:val="BodyTextIndented"/>
      </w:pPr>
      <w:r>
        <w:t xml:space="preserve">Exploring ways to realise the potential of recycled water from the region’s two largest wastewater treatment plants. </w:t>
      </w:r>
    </w:p>
    <w:p w14:paraId="2E079A70" w14:textId="35D69AEB" w:rsidR="00A12E71" w:rsidRPr="00064287" w:rsidRDefault="00DD256B" w:rsidP="00A12E71">
      <w:pPr>
        <w:pStyle w:val="ListNumber"/>
        <w:rPr>
          <w:b/>
          <w:bCs/>
        </w:rPr>
      </w:pPr>
      <w:r w:rsidRPr="00DD256B">
        <w:rPr>
          <w:b/>
          <w:bCs/>
        </w:rPr>
        <w:t xml:space="preserve">Lakes Entrance IWM Plan </w:t>
      </w:r>
    </w:p>
    <w:p w14:paraId="660FA9F6" w14:textId="3AD3FDAF" w:rsidR="0015164C" w:rsidRDefault="0015164C" w:rsidP="0015164C">
      <w:pPr>
        <w:pStyle w:val="BodyTextIndented"/>
      </w:pPr>
      <w:r>
        <w:t xml:space="preserve">Incorporating IWM principles into the Lakes Entrance Growth and Adaptation Strategy and an IWM plan for Lakes Entrance. </w:t>
      </w:r>
    </w:p>
    <w:p w14:paraId="74BC737B" w14:textId="02CD9A6C" w:rsidR="00A12E71" w:rsidRPr="00064287" w:rsidRDefault="00DA4B8B" w:rsidP="00A12E71">
      <w:pPr>
        <w:pStyle w:val="ListNumber"/>
        <w:rPr>
          <w:b/>
          <w:bCs/>
        </w:rPr>
      </w:pPr>
      <w:r w:rsidRPr="00DA4B8B">
        <w:rPr>
          <w:b/>
          <w:bCs/>
        </w:rPr>
        <w:t>Crooke Street Wetlands</w:t>
      </w:r>
    </w:p>
    <w:p w14:paraId="0C914EBF" w14:textId="0044BE87" w:rsidR="001E513B" w:rsidRDefault="00DA4B8B" w:rsidP="001E513B">
      <w:pPr>
        <w:pStyle w:val="BodyTextIndented"/>
      </w:pPr>
      <w:r w:rsidRPr="00DA4B8B">
        <w:rPr>
          <w:lang w:val="en-US"/>
        </w:rPr>
        <w:t>Protecting water quality in Gippsland Lakes by filtering urban stormwater through new wetlands.</w:t>
      </w:r>
      <w:r w:rsidRPr="00DA4B8B">
        <w:t> </w:t>
      </w:r>
    </w:p>
    <w:p w14:paraId="7CA729BF" w14:textId="48766A12" w:rsidR="00A12E71" w:rsidRPr="00BE764D" w:rsidRDefault="003B5F44" w:rsidP="00A12E71">
      <w:pPr>
        <w:pStyle w:val="ListNumber"/>
        <w:rPr>
          <w:b/>
          <w:bCs/>
        </w:rPr>
      </w:pPr>
      <w:r w:rsidRPr="003B5F44">
        <w:rPr>
          <w:b/>
          <w:bCs/>
        </w:rPr>
        <w:t>Improving the Health of Waterways Flowing into the Gippsland Lakes and the Tambo, Nicholson, and Mitchell Rivers</w:t>
      </w:r>
    </w:p>
    <w:p w14:paraId="068BDD0C" w14:textId="4D8C2645" w:rsidR="001E513B" w:rsidRDefault="003B5F44" w:rsidP="001E513B">
      <w:pPr>
        <w:pStyle w:val="BodyTextIndented"/>
      </w:pPr>
      <w:r w:rsidRPr="003B5F44">
        <w:t xml:space="preserve">Fencing and revegetation to improve water quality, bank stability and the quality of riparian vegetation along key waterways in farmlands. </w:t>
      </w:r>
    </w:p>
    <w:p w14:paraId="4BE35038" w14:textId="5A4C1BD2" w:rsidR="008072D4" w:rsidRDefault="004E276E" w:rsidP="004E276E">
      <w:pPr>
        <w:pStyle w:val="Heading1TopofPage"/>
        <w:framePr w:wrap="around"/>
      </w:pPr>
      <w:bookmarkStart w:id="23" w:name="_Toc105599776"/>
      <w:bookmarkStart w:id="24" w:name="_Toc117694653"/>
      <w:r>
        <w:lastRenderedPageBreak/>
        <w:t>Better together: integrating water management across Victoria</w:t>
      </w:r>
      <w:bookmarkEnd w:id="23"/>
      <w:bookmarkEnd w:id="24"/>
    </w:p>
    <w:p w14:paraId="5970D640" w14:textId="50FBB045" w:rsidR="00CD1386" w:rsidRDefault="008E5D1B" w:rsidP="005C5504">
      <w:pPr>
        <w:pStyle w:val="Heading2"/>
      </w:pPr>
      <w:bookmarkStart w:id="25" w:name="_Toc117694654"/>
      <w:bookmarkStart w:id="26" w:name="_Toc105599777"/>
      <w:r>
        <w:t>Water and Traditional Owners</w:t>
      </w:r>
      <w:bookmarkEnd w:id="25"/>
      <w:r>
        <w:t xml:space="preserve"> </w:t>
      </w:r>
      <w:bookmarkEnd w:id="26"/>
    </w:p>
    <w:p w14:paraId="508729D2" w14:textId="094295F6" w:rsidR="00874019" w:rsidRDefault="00874019" w:rsidP="00874019">
      <w:pPr>
        <w:pStyle w:val="BodyText"/>
        <w:rPr>
          <w:lang w:eastAsia="en-AU"/>
        </w:rPr>
      </w:pPr>
      <w:r>
        <w:rPr>
          <w:lang w:eastAsia="en-AU"/>
        </w:rPr>
        <w:t xml:space="preserve">East Gippsland is part of the tapestry of interwoven cultural landscapes that are the product of the skills, knowledge and activities of Traditional Owners caring for Country over thousands of generations. Cultural landscapes are reflections of how Traditional Owners engage with the world. Traditional Owners have an intrinsic connection to Country in East Gippsland. </w:t>
      </w:r>
    </w:p>
    <w:p w14:paraId="7ABBDA62" w14:textId="7FE2B617" w:rsidR="00402048" w:rsidRDefault="00874019" w:rsidP="00402048">
      <w:pPr>
        <w:pStyle w:val="BodyText"/>
        <w:rPr>
          <w:lang w:eastAsia="en-AU"/>
        </w:rPr>
      </w:pPr>
      <w:r>
        <w:rPr>
          <w:lang w:eastAsia="en-AU"/>
        </w:rPr>
        <w:t xml:space="preserve">The Aboriginal community across the East Gippsland region is represented by the Gunaikurnai Land and Waters Aboriginal </w:t>
      </w:r>
      <w:r w:rsidR="00402048">
        <w:rPr>
          <w:lang w:eastAsia="en-AU"/>
        </w:rPr>
        <w:t xml:space="preserve">Corporation (GLaWAC) (the Registered Aboriginal Party and Gunaikurnai Native Title holder), the Bidwell people, and the </w:t>
      </w:r>
      <w:proofErr w:type="spellStart"/>
      <w:r w:rsidR="00402048">
        <w:rPr>
          <w:lang w:eastAsia="en-AU"/>
        </w:rPr>
        <w:t>Ngarigo</w:t>
      </w:r>
      <w:proofErr w:type="spellEnd"/>
      <w:r w:rsidR="00402048">
        <w:rPr>
          <w:lang w:eastAsia="en-AU"/>
        </w:rPr>
        <w:t xml:space="preserve"> Monero people. </w:t>
      </w:r>
    </w:p>
    <w:p w14:paraId="13B5E3C1" w14:textId="77777777" w:rsidR="00402048" w:rsidRDefault="00402048" w:rsidP="00402048">
      <w:pPr>
        <w:pStyle w:val="BodyText"/>
        <w:rPr>
          <w:lang w:eastAsia="en-AU"/>
        </w:rPr>
      </w:pPr>
      <w:r>
        <w:rPr>
          <w:lang w:eastAsia="en-AU"/>
        </w:rPr>
        <w:t>'As Gunaikurnai, we see our land (Wurruk), waters (</w:t>
      </w:r>
      <w:proofErr w:type="spellStart"/>
      <w:r>
        <w:rPr>
          <w:lang w:eastAsia="en-AU"/>
        </w:rPr>
        <w:t>Yarnda</w:t>
      </w:r>
      <w:proofErr w:type="spellEnd"/>
      <w:r>
        <w:rPr>
          <w:lang w:eastAsia="en-AU"/>
        </w:rPr>
        <w:t>), air (</w:t>
      </w:r>
      <w:proofErr w:type="spellStart"/>
      <w:r>
        <w:rPr>
          <w:lang w:eastAsia="en-AU"/>
        </w:rPr>
        <w:t>Watpootjan</w:t>
      </w:r>
      <w:proofErr w:type="spellEnd"/>
      <w:r>
        <w:rPr>
          <w:lang w:eastAsia="en-AU"/>
        </w:rPr>
        <w:t xml:space="preserve">) and every living thing as one. All things come from Wurruk, </w:t>
      </w:r>
      <w:proofErr w:type="spellStart"/>
      <w:r>
        <w:rPr>
          <w:lang w:eastAsia="en-AU"/>
        </w:rPr>
        <w:t>Yarnda</w:t>
      </w:r>
      <w:proofErr w:type="spellEnd"/>
      <w:r>
        <w:rPr>
          <w:lang w:eastAsia="en-AU"/>
        </w:rPr>
        <w:t xml:space="preserve"> and </w:t>
      </w:r>
      <w:proofErr w:type="spellStart"/>
      <w:r>
        <w:rPr>
          <w:lang w:eastAsia="en-AU"/>
        </w:rPr>
        <w:t>Watpootjan</w:t>
      </w:r>
      <w:proofErr w:type="spellEnd"/>
      <w:r>
        <w:rPr>
          <w:lang w:eastAsia="en-AU"/>
        </w:rPr>
        <w:t xml:space="preserve"> and they are the spiritual lifegiving resources, providing us with resources and forming the basis of our cultural practices. We have a cultural responsibility to ensure that all of it is looked after.'— </w:t>
      </w:r>
      <w:r w:rsidRPr="00FE6F2E">
        <w:rPr>
          <w:i/>
          <w:iCs/>
          <w:lang w:eastAsia="en-AU"/>
        </w:rPr>
        <w:t>Gunaikurnai Whole of Country Plan</w:t>
      </w:r>
      <w:r>
        <w:rPr>
          <w:lang w:eastAsia="en-AU"/>
        </w:rPr>
        <w:t xml:space="preserve"> (2015). </w:t>
      </w:r>
    </w:p>
    <w:p w14:paraId="59F423C9" w14:textId="6D46E6BA" w:rsidR="00402048" w:rsidRDefault="00402048" w:rsidP="00402048">
      <w:pPr>
        <w:pStyle w:val="BodyText"/>
        <w:rPr>
          <w:lang w:eastAsia="en-AU"/>
        </w:rPr>
      </w:pPr>
      <w:r>
        <w:rPr>
          <w:lang w:eastAsia="en-AU"/>
        </w:rPr>
        <w:t xml:space="preserve">'Bidwell’s aspirations are to preserve, protect, and showcase cultural heritage, lore, traditions, and customs through self- determination. We assert our rights to a healthy country and an environmentally friendly landscape, riverscape and seascape. All livings things in biodiversity have an absolute right to live in peace and harmony on this great country we all share and live on. Bidwell is committed to creating positive relationships with non-government and government organisations; and is interested in developing strategies for coastal waters, rivers and lakes.'— Bidwell First Nations Clans. </w:t>
      </w:r>
    </w:p>
    <w:p w14:paraId="5798EBA7" w14:textId="3ACDF025" w:rsidR="00402048" w:rsidRDefault="00402048" w:rsidP="00402048">
      <w:pPr>
        <w:pStyle w:val="BodyText"/>
        <w:rPr>
          <w:lang w:eastAsia="en-AU"/>
        </w:rPr>
      </w:pPr>
      <w:r>
        <w:rPr>
          <w:lang w:eastAsia="en-AU"/>
        </w:rPr>
        <w:t xml:space="preserve">'We are the </w:t>
      </w:r>
      <w:proofErr w:type="spellStart"/>
      <w:r>
        <w:rPr>
          <w:lang w:eastAsia="en-AU"/>
        </w:rPr>
        <w:t>Ngarigo</w:t>
      </w:r>
      <w:proofErr w:type="spellEnd"/>
      <w:r>
        <w:rPr>
          <w:lang w:eastAsia="en-AU"/>
        </w:rPr>
        <w:t xml:space="preserve"> Monero people, ‘our people have always been connected to the coastline as well as the mountains’. Our special places are connected to our knowledge and stories and in caring for country. Our rivers were our pathways for our Old People to connect to special places. Our oral stories shared down the generations are rich in their knowledge.'— </w:t>
      </w:r>
      <w:proofErr w:type="spellStart"/>
      <w:r>
        <w:rPr>
          <w:lang w:eastAsia="en-AU"/>
        </w:rPr>
        <w:t>Ngarigo</w:t>
      </w:r>
      <w:proofErr w:type="spellEnd"/>
      <w:r>
        <w:rPr>
          <w:lang w:eastAsia="en-AU"/>
        </w:rPr>
        <w:t xml:space="preserve"> Monero people. </w:t>
      </w:r>
    </w:p>
    <w:p w14:paraId="2AB7F243" w14:textId="20953C4A" w:rsidR="00874019" w:rsidRDefault="00402048" w:rsidP="00402048">
      <w:pPr>
        <w:pStyle w:val="BodyText"/>
        <w:rPr>
          <w:lang w:eastAsia="en-AU"/>
        </w:rPr>
      </w:pPr>
      <w:r>
        <w:rPr>
          <w:lang w:eastAsia="en-AU"/>
        </w:rPr>
        <w:t>European settlement in Victoria saw massacres of Indigenous people, and the surviving Traditional Owners displaced from their Country and culture.</w:t>
      </w:r>
    </w:p>
    <w:p w14:paraId="7E225771" w14:textId="70FD44E9" w:rsidR="00547ACF" w:rsidRDefault="00547ACF" w:rsidP="005C5504">
      <w:pPr>
        <w:pStyle w:val="Heading2"/>
      </w:pPr>
      <w:bookmarkStart w:id="27" w:name="_Toc117694655"/>
      <w:bookmarkStart w:id="28" w:name="_Hlk116376919"/>
      <w:r>
        <w:t>Water in the new millen</w:t>
      </w:r>
      <w:r w:rsidR="007F5368">
        <w:t>nium</w:t>
      </w:r>
      <w:bookmarkEnd w:id="27"/>
    </w:p>
    <w:bookmarkEnd w:id="28"/>
    <w:p w14:paraId="5061E47B" w14:textId="6D386962" w:rsidR="00874019" w:rsidRDefault="007F5368" w:rsidP="00874019">
      <w:pPr>
        <w:pStyle w:val="BodyText"/>
        <w:rPr>
          <w:lang w:eastAsia="en-AU"/>
        </w:rPr>
      </w:pPr>
      <w:r w:rsidRPr="007F5368">
        <w:rPr>
          <w:lang w:eastAsia="en-AU"/>
        </w:rPr>
        <w:t xml:space="preserve">Victoria’s regional towns and cities grew with the provision of urban drinking water and sanitation services. Irrigated agriculture and dryland farming have both played important roles in </w:t>
      </w:r>
      <w:r w:rsidR="00874019">
        <w:rPr>
          <w:lang w:eastAsia="en-AU"/>
        </w:rPr>
        <w:t>Victoria’s history and growth. Today, Victoria is the nation’s largest food and fibre exporter</w:t>
      </w:r>
      <w:r w:rsidR="00C70FA1">
        <w:rPr>
          <w:rStyle w:val="FootnoteReference"/>
          <w:lang w:eastAsia="en-AU"/>
        </w:rPr>
        <w:footnoteReference w:id="2"/>
      </w:r>
      <w:r w:rsidR="00874019">
        <w:rPr>
          <w:lang w:eastAsia="en-AU"/>
        </w:rPr>
        <w:t>.</w:t>
      </w:r>
    </w:p>
    <w:p w14:paraId="568711BB" w14:textId="77777777" w:rsidR="00874019" w:rsidRDefault="00874019" w:rsidP="00874019">
      <w:pPr>
        <w:pStyle w:val="BodyText"/>
        <w:rPr>
          <w:lang w:eastAsia="en-AU"/>
        </w:rPr>
      </w:pPr>
      <w:r>
        <w:rPr>
          <w:lang w:eastAsia="en-AU"/>
        </w:rPr>
        <w:lastRenderedPageBreak/>
        <w:t xml:space="preserve">Water management is operating in an increasingly challenging context. We have lived through the Millennium Drought and experienced flooding, bushfires and extreme weather. We have seen the consequences of the overuse and the overallocation of water in one area affecting the availability or quality of water in another. Significant investment and interventions have been required to begin returning the flow of water to our rivers and floodplains, yet more remains to be done. </w:t>
      </w:r>
    </w:p>
    <w:p w14:paraId="64736576" w14:textId="6E095ED3" w:rsidR="00D433B1" w:rsidRDefault="002204E8" w:rsidP="002204E8">
      <w:pPr>
        <w:pStyle w:val="BodyText"/>
        <w:rPr>
          <w:lang w:eastAsia="en-AU"/>
        </w:rPr>
      </w:pPr>
      <w:r>
        <w:rPr>
          <w:lang w:eastAsia="en-AU"/>
        </w:rPr>
        <w:t>Water managers are now operating in an increasingly complex and uncertain environment. The drivers of change are both social and environmental. They include climate change, population growth, shifting migration patterns associated with the coronavirus pandemic, economic challenges, and policy changes. But our beautiful region remains a wonderful place to live, and we continue to see our population increase. The liveability of our regional towns and cities and the health of our environment and economy depend on the availability of water. Traditional Owners know that water is essential to life, and to Creation, and that waterways are living entities. The cultural, spiritual, physical, and economic health of the Aboriginal people cannot be separated from the health of their Country, including the water and waterways. Therefore, we need an integrated and collaborative approach to adapt to change and maximise value across the whole water cycle.</w:t>
      </w:r>
    </w:p>
    <w:p w14:paraId="46E6C3EF" w14:textId="583ECCFC" w:rsidR="00890BFF" w:rsidRDefault="00890BFF" w:rsidP="005C5504">
      <w:pPr>
        <w:pStyle w:val="Heading2"/>
      </w:pPr>
      <w:bookmarkStart w:id="29" w:name="_Toc117694656"/>
      <w:r>
        <w:t xml:space="preserve">What is </w:t>
      </w:r>
      <w:r w:rsidR="00656F72">
        <w:t>integrated water management</w:t>
      </w:r>
      <w:r>
        <w:t>? How can it help address the challenges?</w:t>
      </w:r>
      <w:bookmarkEnd w:id="29"/>
    </w:p>
    <w:p w14:paraId="6CADD3F8" w14:textId="77777777" w:rsidR="00846199" w:rsidRPr="00846199" w:rsidRDefault="00846199" w:rsidP="00846199">
      <w:pPr>
        <w:spacing w:before="60" w:after="180" w:line="360" w:lineRule="exact"/>
        <w:rPr>
          <w:color w:val="393838" w:themeColor="text2"/>
          <w:spacing w:val="-2"/>
          <w:sz w:val="32"/>
        </w:rPr>
      </w:pPr>
      <w:r w:rsidRPr="00846199">
        <w:rPr>
          <w:color w:val="393838" w:themeColor="text2"/>
          <w:spacing w:val="-2"/>
          <w:sz w:val="32"/>
        </w:rPr>
        <w:t>Integrated water management considers all parts of the water cycle as an integrated system to optimise the environmental, cultural, social and economic outcomes for our communities.</w:t>
      </w:r>
    </w:p>
    <w:p w14:paraId="1D5971D4" w14:textId="77777777" w:rsidR="00866310" w:rsidRDefault="00866310" w:rsidP="00874019">
      <w:pPr>
        <w:pStyle w:val="BodyText"/>
        <w:rPr>
          <w:lang w:eastAsia="en-AU"/>
        </w:rPr>
      </w:pPr>
      <w:r w:rsidRPr="00866310">
        <w:rPr>
          <w:lang w:eastAsia="en-AU"/>
        </w:rPr>
        <w:t xml:space="preserve">We have the challenges of population growth, climate change and natural disasters, but we also have the benefits of past experiences and established relationships. Together, we can make decisions today that we will celebrate in the future. </w:t>
      </w:r>
    </w:p>
    <w:p w14:paraId="3FDC5939" w14:textId="49C9350D" w:rsidR="00E620A9" w:rsidRDefault="00AC336A" w:rsidP="00874019">
      <w:pPr>
        <w:pStyle w:val="BodyText"/>
        <w:rPr>
          <w:lang w:eastAsia="en-AU"/>
        </w:rPr>
      </w:pPr>
      <w:r w:rsidRPr="00AC336A">
        <w:rPr>
          <w:lang w:eastAsia="en-AU"/>
        </w:rPr>
        <w:t>While everyone has a responsibility to conserve and protect water, there are several key groups charged with making decisions about water within each region.</w:t>
      </w:r>
      <w:r w:rsidR="005D19F0">
        <w:rPr>
          <w:lang w:eastAsia="en-AU"/>
        </w:rPr>
        <w:t xml:space="preserve"> </w:t>
      </w:r>
      <w:r w:rsidR="00E620A9">
        <w:rPr>
          <w:lang w:eastAsia="en-AU"/>
        </w:rPr>
        <w:t>They include:</w:t>
      </w:r>
    </w:p>
    <w:p w14:paraId="1345EBA6" w14:textId="60895892" w:rsidR="006E7291" w:rsidRDefault="006E7291" w:rsidP="006E7291">
      <w:pPr>
        <w:pStyle w:val="BodyText"/>
        <w:numPr>
          <w:ilvl w:val="0"/>
          <w:numId w:val="21"/>
        </w:numPr>
        <w:rPr>
          <w:lang w:eastAsia="en-AU"/>
        </w:rPr>
      </w:pPr>
      <w:r>
        <w:rPr>
          <w:lang w:eastAsia="en-AU"/>
        </w:rPr>
        <w:t xml:space="preserve">Traditional Owner groups, who have a deep knowledge of and connection to the region’s waterways, to other water resources and to Country </w:t>
      </w:r>
    </w:p>
    <w:p w14:paraId="443281F5" w14:textId="77777777" w:rsidR="006E7291" w:rsidRDefault="006E7291" w:rsidP="00333B80">
      <w:pPr>
        <w:pStyle w:val="BodyText"/>
        <w:numPr>
          <w:ilvl w:val="0"/>
          <w:numId w:val="21"/>
        </w:numPr>
        <w:rPr>
          <w:lang w:eastAsia="en-AU"/>
        </w:rPr>
      </w:pPr>
      <w:r>
        <w:rPr>
          <w:lang w:eastAsia="en-AU"/>
        </w:rPr>
        <w:t>urban and rural water corporations, which manage water storage, access, licences and supply, and wastewater services</w:t>
      </w:r>
    </w:p>
    <w:p w14:paraId="125E815F" w14:textId="77777777" w:rsidR="00973680" w:rsidRDefault="00874019" w:rsidP="00874019">
      <w:pPr>
        <w:pStyle w:val="BodyText"/>
        <w:numPr>
          <w:ilvl w:val="0"/>
          <w:numId w:val="21"/>
        </w:numPr>
        <w:rPr>
          <w:lang w:eastAsia="en-AU"/>
        </w:rPr>
      </w:pPr>
      <w:r>
        <w:rPr>
          <w:lang w:eastAsia="en-AU"/>
        </w:rPr>
        <w:t xml:space="preserve">local governments, which manage surface water drainage, protect local waters from degradation and pollution, oversee onsite domestic wastewater planning, regulate local development, and undertake strategic planning for future growth </w:t>
      </w:r>
    </w:p>
    <w:p w14:paraId="4A635CF6" w14:textId="571D1940" w:rsidR="00874019" w:rsidRDefault="00874019" w:rsidP="00874019">
      <w:pPr>
        <w:pStyle w:val="BodyText"/>
        <w:numPr>
          <w:ilvl w:val="0"/>
          <w:numId w:val="21"/>
        </w:numPr>
        <w:rPr>
          <w:lang w:eastAsia="en-AU"/>
        </w:rPr>
      </w:pPr>
      <w:r>
        <w:rPr>
          <w:lang w:eastAsia="en-AU"/>
        </w:rPr>
        <w:lastRenderedPageBreak/>
        <w:t xml:space="preserve">catchment management authorities, which plan for flood management, issue approvals for works involving waterways, and work with landholders to consider the interactions of land, water and biodiversity, and who contribute to whole of catchment health and monitoring. </w:t>
      </w:r>
    </w:p>
    <w:p w14:paraId="75E548E4" w14:textId="41B47052" w:rsidR="00874019" w:rsidRDefault="0016149C" w:rsidP="00874019">
      <w:pPr>
        <w:pStyle w:val="BodyText"/>
        <w:rPr>
          <w:lang w:eastAsia="en-AU"/>
        </w:rPr>
      </w:pPr>
      <w:r w:rsidRPr="0016149C">
        <w:rPr>
          <w:lang w:eastAsia="en-AU"/>
        </w:rPr>
        <w:t>The decisions these groups make individually, can have significant impacts on the quality and availability of the water for others in the catchment and further downstream. So, it makes sense they collaborate towards common goals to maximise water saving and reuse and share the benefits (Figure 2).</w:t>
      </w:r>
    </w:p>
    <w:p w14:paraId="6FA5CDA5" w14:textId="4433B76F" w:rsidR="00874019" w:rsidRDefault="00B769C9" w:rsidP="00874019">
      <w:pPr>
        <w:pStyle w:val="BodyText"/>
        <w:rPr>
          <w:lang w:eastAsia="en-AU"/>
        </w:rPr>
      </w:pPr>
      <w:r w:rsidRPr="00B769C9">
        <w:rPr>
          <w:lang w:eastAsia="en-AU"/>
        </w:rPr>
        <w:t>IWM is an approach that can be applied at multiple scales</w:t>
      </w:r>
      <w:r>
        <w:rPr>
          <w:lang w:eastAsia="en-AU"/>
        </w:rPr>
        <w:t xml:space="preserve"> </w:t>
      </w:r>
      <w:r w:rsidR="00874019">
        <w:rPr>
          <w:lang w:eastAsia="en-AU"/>
        </w:rPr>
        <w:t xml:space="preserve">from water planning at the local park, right up to the whole of catchment. IWM can connect climate-change adaptation, planning and open space, water security and other strategies, so that collaborators can add value to each other’s projects. </w:t>
      </w:r>
    </w:p>
    <w:p w14:paraId="517F70EE" w14:textId="0FF5541A" w:rsidR="005D19F0" w:rsidRDefault="00874019" w:rsidP="00AD5158">
      <w:pPr>
        <w:pStyle w:val="BodyText"/>
        <w:rPr>
          <w:lang w:eastAsia="en-AU"/>
        </w:rPr>
      </w:pPr>
      <w:r>
        <w:rPr>
          <w:lang w:eastAsia="en-AU"/>
        </w:rPr>
        <w:t xml:space="preserve">In East Gippsland, IWM has already played a powerful role in supporting community resilience as collaborators successfully worked together on recovery projects following natural disasters. </w:t>
      </w:r>
    </w:p>
    <w:p w14:paraId="79A3489A" w14:textId="32CBDA38" w:rsidR="0030287C" w:rsidRPr="0030287C" w:rsidRDefault="0030287C" w:rsidP="0030287C">
      <w:pPr>
        <w:spacing w:before="60" w:after="120" w:line="276" w:lineRule="auto"/>
        <w:rPr>
          <w:rFonts w:cs="Times New Roman"/>
        </w:rPr>
      </w:pPr>
      <w:r w:rsidRPr="0030287C">
        <w:rPr>
          <w:rFonts w:cs="Times New Roman"/>
          <w:noProof/>
          <w:lang w:eastAsia="en-US"/>
        </w:rPr>
        <w:lastRenderedPageBreak/>
        <w:drawing>
          <wp:inline distT="0" distB="0" distL="0" distR="0" wp14:anchorId="16679C3A" wp14:editId="3DDF18EC">
            <wp:extent cx="6120324" cy="4816194"/>
            <wp:effectExtent l="0" t="0" r="0" b="3810"/>
            <wp:docPr id="23" name="Picture 23" descr="An infographic which is visually representing the differences between conventional water management and integrate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which is visually representing the differences between conventional water management and integrated water management."/>
                    <pic:cNvPicPr/>
                  </pic:nvPicPr>
                  <pic:blipFill rotWithShape="1">
                    <a:blip r:embed="rId41"/>
                    <a:srcRect t="2129" b="1404"/>
                    <a:stretch/>
                  </pic:blipFill>
                  <pic:spPr bwMode="auto">
                    <a:xfrm>
                      <a:off x="0" y="0"/>
                      <a:ext cx="6120765" cy="4816541"/>
                    </a:xfrm>
                    <a:prstGeom prst="rect">
                      <a:avLst/>
                    </a:prstGeom>
                    <a:ln>
                      <a:noFill/>
                    </a:ln>
                    <a:extLst>
                      <a:ext uri="{53640926-AAD7-44D8-BBD7-CCE9431645EC}">
                        <a14:shadowObscured xmlns:a14="http://schemas.microsoft.com/office/drawing/2010/main"/>
                      </a:ext>
                    </a:extLst>
                  </pic:spPr>
                </pic:pic>
              </a:graphicData>
            </a:graphic>
          </wp:inline>
        </w:drawing>
      </w:r>
    </w:p>
    <w:p w14:paraId="005B7BBD" w14:textId="09B9C70E" w:rsidR="00640F46" w:rsidRPr="00627212" w:rsidRDefault="0030287C" w:rsidP="00C6045D">
      <w:pPr>
        <w:pStyle w:val="CaptionImageorFigure"/>
      </w:pPr>
      <w:r w:rsidRPr="0030287C">
        <w:t>Figure 2: How does IWM work? Conventional water management saw a more siloed approach to water management, with a single supply source and two discharge systems to move stormwater and wastewater away as quickly as possible, resulting in missed opportunities to use all sources of water. The IWM approach brings water managers together to plan and deliver new opportunities to provide broader benefits to the community. Listening to and consulting with Victorian communities about how they want water managed is critical to informing IWM decision making. Communities are directly consulted on IWM plans and through existing catchment management authority, water corporation and local government strategies.</w:t>
      </w:r>
    </w:p>
    <w:p w14:paraId="0350F346" w14:textId="767C7167" w:rsidR="00317C00" w:rsidRDefault="00317C00" w:rsidP="009228CE">
      <w:pPr>
        <w:pStyle w:val="Heading2"/>
      </w:pPr>
      <w:bookmarkStart w:id="30" w:name="_Toc105599784"/>
      <w:bookmarkStart w:id="31" w:name="_Toc117694657"/>
      <w:r>
        <w:t>How are we delivering IWM?</w:t>
      </w:r>
      <w:bookmarkEnd w:id="30"/>
      <w:bookmarkEnd w:id="31"/>
    </w:p>
    <w:p w14:paraId="53918385" w14:textId="71AD5A87" w:rsidR="00317C00" w:rsidRDefault="00317C00" w:rsidP="00317C00">
      <w:pPr>
        <w:pStyle w:val="BodyText"/>
      </w:pPr>
      <w:r>
        <w:rPr>
          <w:lang w:eastAsia="en-AU"/>
        </w:rPr>
        <w:t>To facilitate IWM across Victoria, the Victorian Government’s Department of Environment, Land, Water and Planning (DELWP) supported the establishment of 10 IWM forums across regional Victoria (</w:t>
      </w:r>
      <w:r w:rsidR="001B03EB">
        <w:t>Figure</w:t>
      </w:r>
      <w:r w:rsidR="00733F70">
        <w:t xml:space="preserve"> 3</w:t>
      </w:r>
      <w:r>
        <w:rPr>
          <w:lang w:eastAsia="en-AU"/>
        </w:rPr>
        <w:t xml:space="preserve">). These forums bring together leaders of the local water sector to explore, prioritise and oversee the development of local IWM opportunities. </w:t>
      </w:r>
      <w:r>
        <w:rPr>
          <w:lang w:eastAsia="en-AU"/>
        </w:rPr>
        <w:lastRenderedPageBreak/>
        <w:t>Prioritised opportunities are managed and implemented by dedicated Working Groups and are captured within individual IWM plans. Where appropriate, the forums involve other organisations and groups that are not part of the water sector but have direct or indirect interests in water management and land use planning, such as community and Indigenous groups, planning authorities, Department of Transport, developers, educational institutions, or large landholders.</w:t>
      </w:r>
    </w:p>
    <w:p w14:paraId="2CE75B10" w14:textId="1E8FF02C" w:rsidR="009228CE" w:rsidRDefault="00317C00" w:rsidP="009228CE">
      <w:pPr>
        <w:pStyle w:val="BodyText"/>
        <w:rPr>
          <w:lang w:eastAsia="en-AU"/>
        </w:rPr>
      </w:pPr>
      <w:r>
        <w:rPr>
          <w:lang w:eastAsia="en-AU"/>
        </w:rPr>
        <w:t>Being collaborative, IWM builds on existing partnerships and planning processes, and aims to break down silos between independently operating water decision-makers – encouraging</w:t>
      </w:r>
      <w:r w:rsidR="009228CE">
        <w:rPr>
          <w:lang w:eastAsia="en-AU"/>
        </w:rPr>
        <w:t xml:space="preserve"> forum members to consider the water cycle of their own service delivery, and the interdependencies or overlaps with other members (</w:t>
      </w:r>
      <w:r w:rsidR="00A35C07">
        <w:t>Figure</w:t>
      </w:r>
      <w:r w:rsidR="00733F70">
        <w:t xml:space="preserve"> </w:t>
      </w:r>
      <w:r w:rsidR="007A7C12">
        <w:t>2</w:t>
      </w:r>
      <w:r w:rsidR="009228CE">
        <w:rPr>
          <w:lang w:eastAsia="en-AU"/>
        </w:rPr>
        <w:t>). Forum members consider waters in rivers, streams and bays, wastewater, drinking water, stormwater and water treatment processes.</w:t>
      </w:r>
    </w:p>
    <w:p w14:paraId="351FE4DE" w14:textId="72BC1FB8" w:rsidR="00A67DAF" w:rsidRDefault="00465700" w:rsidP="009228CE">
      <w:pPr>
        <w:pStyle w:val="BodyText"/>
        <w:rPr>
          <w:lang w:eastAsia="en-AU"/>
        </w:rPr>
      </w:pPr>
      <w:r>
        <w:rPr>
          <w:noProof/>
        </w:rPr>
        <mc:AlternateContent>
          <mc:Choice Requires="wps">
            <w:drawing>
              <wp:anchor distT="0" distB="0" distL="114300" distR="114300" simplePos="0" relativeHeight="251658249" behindDoc="0" locked="0" layoutInCell="1" allowOverlap="1" wp14:anchorId="6444975A" wp14:editId="486846A0">
                <wp:simplePos x="0" y="0"/>
                <wp:positionH relativeFrom="margin">
                  <wp:align>left</wp:align>
                </wp:positionH>
                <wp:positionV relativeFrom="paragraph">
                  <wp:posOffset>4630420</wp:posOffset>
                </wp:positionV>
                <wp:extent cx="5610225" cy="635"/>
                <wp:effectExtent l="0" t="0" r="9525" b="2540"/>
                <wp:wrapSquare wrapText="bothSides"/>
                <wp:docPr id="12" name="Text Box 12"/>
                <wp:cNvGraphicFramePr/>
                <a:graphic xmlns:a="http://schemas.openxmlformats.org/drawingml/2006/main">
                  <a:graphicData uri="http://schemas.microsoft.com/office/word/2010/wordprocessingShape">
                    <wps:wsp>
                      <wps:cNvSpPr txBox="1"/>
                      <wps:spPr>
                        <a:xfrm>
                          <a:off x="0" y="0"/>
                          <a:ext cx="5610225" cy="635"/>
                        </a:xfrm>
                        <a:prstGeom prst="rect">
                          <a:avLst/>
                        </a:prstGeom>
                        <a:solidFill>
                          <a:prstClr val="white"/>
                        </a:solidFill>
                        <a:ln>
                          <a:noFill/>
                        </a:ln>
                      </wps:spPr>
                      <wps:txbx>
                        <w:txbxContent>
                          <w:p w14:paraId="16EEF733" w14:textId="64C9608E" w:rsidR="00913ED1" w:rsidRPr="00913ED1" w:rsidRDefault="00913ED1" w:rsidP="00913ED1">
                            <w:pPr>
                              <w:pStyle w:val="CaptionImageorFigure"/>
                            </w:pPr>
                            <w:r>
                              <w:t xml:space="preserve">Figure 3: </w:t>
                            </w:r>
                            <w:r w:rsidRPr="001B03EB">
                              <w:t>IWM forum regions of Victoria, which are based around water corporation boundaries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44975A" id="_x0000_t202" coordsize="21600,21600" o:spt="202" path="m,l,21600r21600,l21600,xe">
                <v:stroke joinstyle="miter"/>
                <v:path gradientshapeok="t" o:connecttype="rect"/>
              </v:shapetype>
              <v:shape id="Text Box 12" o:spid="_x0000_s1026" type="#_x0000_t202" style="position:absolute;margin-left:0;margin-top:364.6pt;width:441.75pt;height:.05pt;z-index:25165824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" stroked="f">
                <v:textbox style="mso-fit-shape-to-text:t" inset="0,0,0,0">
                  <w:txbxContent>
                    <w:p w14:paraId="16EEF733" w14:textId="64C9608E" w:rsidR="00913ED1" w:rsidRPr="00913ED1" w:rsidRDefault="00913ED1" w:rsidP="00913ED1">
                      <w:pPr>
                        <w:pStyle w:val="CaptionImageorFigure"/>
                      </w:pPr>
                      <w:r>
                        <w:t xml:space="preserve">Figure 3: </w:t>
                      </w:r>
                      <w:r w:rsidRPr="001B03EB">
                        <w:t>IWM forum regions of Victoria, which are based around water corporation boundaries</w:t>
                      </w:r>
                    </w:p>
                  </w:txbxContent>
                </v:textbox>
                <w10:wrap type="square" anchorx="margin"/>
              </v:shape>
            </w:pict>
          </mc:Fallback>
        </mc:AlternateContent>
      </w:r>
      <w:r w:rsidR="009228CE">
        <w:rPr>
          <w:lang w:eastAsia="en-AU"/>
        </w:rPr>
        <w:t>While collaboration can take more time and effort, working together achieves better outcomes for the environment, society, and the economy by finding mutually beneficial ways to share water, assets and costs.</w:t>
      </w:r>
      <w:r w:rsidR="00A32100" w:rsidRPr="00A32100">
        <w:rPr>
          <w:noProof/>
        </w:rPr>
        <w:t xml:space="preserve"> </w:t>
      </w:r>
      <w:r w:rsidR="00A32100">
        <w:rPr>
          <w:noProof/>
        </w:rPr>
        <w:drawing>
          <wp:inline distT="0" distB="0" distL="0" distR="0" wp14:anchorId="7F6D7513" wp14:editId="25316353">
            <wp:extent cx="5749036" cy="3914597"/>
            <wp:effectExtent l="0" t="0" r="0" b="0"/>
            <wp:docPr id="11" name="Picture 11" descr="A map of Victoria that also displays the boundaries of the IWM forum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2">
                      <a:extLst>
                        <a:ext uri="{28A0092B-C50C-407E-A947-70E740481C1C}">
                          <a14:useLocalDpi xmlns:a14="http://schemas.microsoft.com/office/drawing/2010/main" val="0"/>
                        </a:ext>
                      </a:extLst>
                    </a:blip>
                    <a:srcRect t="1967" b="1664"/>
                    <a:stretch>
                      <a:fillRect/>
                    </a:stretch>
                  </pic:blipFill>
                  <pic:spPr bwMode="auto">
                    <a:xfrm>
                      <a:off x="0" y="0"/>
                      <a:ext cx="5749036" cy="3914597"/>
                    </a:xfrm>
                    <a:prstGeom prst="rect">
                      <a:avLst/>
                    </a:prstGeom>
                    <a:ln>
                      <a:noFill/>
                    </a:ln>
                    <a:extLst>
                      <a:ext uri="{53640926-AAD7-44D8-BBD7-CCE9431645EC}">
                        <a14:shadowObscured xmlns:a14="http://schemas.microsoft.com/office/drawing/2010/main"/>
                      </a:ext>
                    </a:extLst>
                  </pic:spPr>
                </pic:pic>
              </a:graphicData>
            </a:graphic>
          </wp:inline>
        </w:drawing>
      </w:r>
    </w:p>
    <w:p w14:paraId="2401E433" w14:textId="030BA758" w:rsidR="003B118B" w:rsidRDefault="00DB4024" w:rsidP="004D5E11">
      <w:pPr>
        <w:pStyle w:val="Heading2"/>
      </w:pPr>
      <w:bookmarkStart w:id="32" w:name="_Toc105599785"/>
      <w:bookmarkStart w:id="33" w:name="_Toc117694658"/>
      <w:r>
        <w:lastRenderedPageBreak/>
        <w:t>Strategic outcomes</w:t>
      </w:r>
      <w:bookmarkEnd w:id="32"/>
      <w:bookmarkEnd w:id="33"/>
    </w:p>
    <w:p w14:paraId="045F0BFA" w14:textId="77777777" w:rsidR="002615AB" w:rsidRDefault="0087121C" w:rsidP="0087121C">
      <w:pPr>
        <w:pStyle w:val="BodyText"/>
        <w:rPr>
          <w:lang w:eastAsia="en-AU"/>
        </w:rPr>
      </w:pPr>
      <w:r>
        <w:rPr>
          <w:lang w:eastAsia="en-AU"/>
        </w:rPr>
        <w:t>The</w:t>
      </w:r>
      <w:r w:rsidRPr="002C774D">
        <w:rPr>
          <w:i/>
          <w:iCs/>
          <w:lang w:eastAsia="en-AU"/>
        </w:rPr>
        <w:t xml:space="preserve"> Integrated Water Management Framework for Victoria </w:t>
      </w:r>
      <w:r>
        <w:rPr>
          <w:lang w:eastAsia="en-AU"/>
        </w:rPr>
        <w:t xml:space="preserve">(2017) proposed several strategic water-related outcomes that will deliver on the vision in the State water plan, </w:t>
      </w:r>
      <w:r w:rsidRPr="002615AB">
        <w:rPr>
          <w:i/>
          <w:iCs/>
          <w:lang w:eastAsia="en-AU"/>
        </w:rPr>
        <w:t>Water for Victoria</w:t>
      </w:r>
      <w:r>
        <w:rPr>
          <w:lang w:eastAsia="en-AU"/>
        </w:rPr>
        <w:t xml:space="preserve"> (2016), to ‘build resilient and liveable cities and </w:t>
      </w:r>
      <w:proofErr w:type="gramStart"/>
      <w:r>
        <w:rPr>
          <w:lang w:eastAsia="en-AU"/>
        </w:rPr>
        <w:t>towns’</w:t>
      </w:r>
      <w:proofErr w:type="gramEnd"/>
      <w:r>
        <w:rPr>
          <w:lang w:eastAsia="en-AU"/>
        </w:rPr>
        <w:t xml:space="preserve">. These strategic outcomes provide a way to identify the multiple economic, social and environmental benefits that can come from a single initiative. The original framework included five such strategic outcomes that have since been expanded to seven. </w:t>
      </w:r>
    </w:p>
    <w:p w14:paraId="47D89B3F" w14:textId="7D48AD95" w:rsidR="0008771D" w:rsidRDefault="002615AB" w:rsidP="0087121C">
      <w:pPr>
        <w:pStyle w:val="BodyText"/>
        <w:rPr>
          <w:lang w:eastAsia="en-AU"/>
        </w:rPr>
      </w:pPr>
      <w:r>
        <w:rPr>
          <w:lang w:eastAsia="en-AU"/>
        </w:rPr>
        <w:t xml:space="preserve">Each Traditional Owner group has the right to self-determination GLaWAC has self-determined to include an eighth strategic outcome in 2022 East Gippsland </w:t>
      </w:r>
      <w:r w:rsidR="0008771D">
        <w:rPr>
          <w:lang w:eastAsia="en-AU"/>
        </w:rPr>
        <w:t>and Gippsland IWM Forum SDSs. It is focused on Traditional Owner inclusion and values.</w:t>
      </w:r>
    </w:p>
    <w:p w14:paraId="4B96B99B" w14:textId="2790EA37" w:rsidR="0087121C" w:rsidRDefault="0087121C" w:rsidP="0087121C">
      <w:pPr>
        <w:pStyle w:val="BodyText"/>
        <w:rPr>
          <w:lang w:eastAsia="en-AU"/>
        </w:rPr>
      </w:pPr>
      <w:r>
        <w:rPr>
          <w:lang w:eastAsia="en-AU"/>
        </w:rPr>
        <w:t>The identification of strategic outcomes will continue to evolve as the water management context changes and the sector innovates.</w:t>
      </w:r>
      <w:r w:rsidR="00745118">
        <w:rPr>
          <w:lang w:eastAsia="en-AU"/>
        </w:rPr>
        <w:t xml:space="preserve"> </w:t>
      </w:r>
      <w:r>
        <w:rPr>
          <w:lang w:eastAsia="en-AU"/>
        </w:rPr>
        <w:t>Proposed project opportunities are assessed and prioritised against how well and how many of these strategic outcomes they meet.</w:t>
      </w:r>
    </w:p>
    <w:p w14:paraId="63E78EBB" w14:textId="4AA1528F" w:rsidR="00DB4024" w:rsidRDefault="0087121C" w:rsidP="00DB4024">
      <w:pPr>
        <w:pStyle w:val="BodyText"/>
        <w:rPr>
          <w:lang w:eastAsia="en-AU"/>
        </w:rPr>
      </w:pPr>
      <w:r>
        <w:rPr>
          <w:lang w:eastAsia="en-AU"/>
        </w:rPr>
        <w:t>The strategic outcomes are:</w:t>
      </w:r>
    </w:p>
    <w:p w14:paraId="05BE5472" w14:textId="77777777" w:rsidR="00DB4024" w:rsidRDefault="00DB4024" w:rsidP="0087121C">
      <w:pPr>
        <w:pStyle w:val="ListBullet"/>
      </w:pPr>
      <w:r w:rsidRPr="7E74AF0E">
        <w:rPr>
          <w:b/>
          <w:bCs/>
        </w:rPr>
        <w:t>safe, secure and affordable supplies in a changing future</w:t>
      </w:r>
      <w:r>
        <w:t xml:space="preserve"> – indicated by the amount of water conserved or alternative water volume supplied to meet an identified demand.</w:t>
      </w:r>
    </w:p>
    <w:p w14:paraId="71BA4B50" w14:textId="77777777" w:rsidR="00DB4024" w:rsidRDefault="00DB4024" w:rsidP="0087121C">
      <w:pPr>
        <w:pStyle w:val="ListBullet"/>
      </w:pPr>
      <w:r w:rsidRPr="7E74AF0E">
        <w:rPr>
          <w:b/>
          <w:bCs/>
        </w:rPr>
        <w:t>effective and affordable wastewater systems</w:t>
      </w:r>
      <w:r>
        <w:t xml:space="preserve"> – ensuring environmental and public health standards are met, and maximising resource recovery.</w:t>
      </w:r>
    </w:p>
    <w:p w14:paraId="12E83B38" w14:textId="77777777" w:rsidR="00DB4024" w:rsidRDefault="00DB4024" w:rsidP="0087121C">
      <w:pPr>
        <w:pStyle w:val="ListBullet"/>
      </w:pPr>
      <w:r w:rsidRPr="7E74AF0E">
        <w:rPr>
          <w:b/>
          <w:bCs/>
        </w:rPr>
        <w:t>manage flood risks</w:t>
      </w:r>
      <w:r>
        <w:t xml:space="preserve"> – resilience to existing and future flood risk.</w:t>
      </w:r>
    </w:p>
    <w:p w14:paraId="72349042" w14:textId="77777777" w:rsidR="00DB4024" w:rsidRDefault="00DB4024" w:rsidP="0087121C">
      <w:pPr>
        <w:pStyle w:val="ListBullet"/>
      </w:pPr>
      <w:r w:rsidRPr="7E74AF0E">
        <w:rPr>
          <w:b/>
          <w:bCs/>
        </w:rPr>
        <w:t>healthy and valued waterways and waterbodies</w:t>
      </w:r>
      <w:r>
        <w:t xml:space="preserve"> – indicated by the ecological health of riparian areas, hydrology and water quality.</w:t>
      </w:r>
    </w:p>
    <w:p w14:paraId="658F27AA" w14:textId="77777777" w:rsidR="00DB4024" w:rsidRDefault="00DB4024" w:rsidP="0087121C">
      <w:pPr>
        <w:pStyle w:val="ListBullet"/>
      </w:pPr>
      <w:r w:rsidRPr="7E74AF0E">
        <w:rPr>
          <w:b/>
          <w:bCs/>
        </w:rPr>
        <w:t>healthy and valued landscapes</w:t>
      </w:r>
      <w:r>
        <w:t xml:space="preserve"> – maximising the connectivity, accessibility, greening and vegetation, cooling, aesthetic and/or recreational values of landscapes.</w:t>
      </w:r>
    </w:p>
    <w:p w14:paraId="3FF18FFB" w14:textId="77777777" w:rsidR="00DB4024" w:rsidRDefault="00DB4024" w:rsidP="0087121C">
      <w:pPr>
        <w:pStyle w:val="ListBullet"/>
      </w:pPr>
      <w:r w:rsidRPr="7E74AF0E">
        <w:rPr>
          <w:b/>
          <w:bCs/>
        </w:rPr>
        <w:t xml:space="preserve">Traditional Owner and community values reflected in place-based planning </w:t>
      </w:r>
      <w:r>
        <w:t xml:space="preserve">– ensuring that different communities are considered and included in planning and </w:t>
      </w:r>
      <w:proofErr w:type="gramStart"/>
      <w:r>
        <w:t>design, and</w:t>
      </w:r>
      <w:proofErr w:type="gramEnd"/>
      <w:r>
        <w:t xml:space="preserve"> provided with water-systems literacy to enable involvement.</w:t>
      </w:r>
    </w:p>
    <w:p w14:paraId="649352A1" w14:textId="312D6740" w:rsidR="00DB4024" w:rsidRDefault="00DB4024" w:rsidP="0087121C">
      <w:pPr>
        <w:pStyle w:val="ListBullet"/>
      </w:pPr>
      <w:r w:rsidRPr="7E74AF0E">
        <w:rPr>
          <w:b/>
          <w:bCs/>
        </w:rPr>
        <w:t>jobs, economic opportunity and innovation</w:t>
      </w:r>
      <w:r>
        <w:t xml:space="preserve"> – recognising that water management is an integral part of economic growth.</w:t>
      </w:r>
    </w:p>
    <w:p w14:paraId="55C79BE8" w14:textId="11F73206" w:rsidR="005537AE" w:rsidRDefault="00BC2F40" w:rsidP="00465700">
      <w:pPr>
        <w:pStyle w:val="BodyText"/>
      </w:pPr>
      <w:r w:rsidRPr="00BC2F40">
        <w:t xml:space="preserve">To find out more about how Victoria is applying IWM through </w:t>
      </w:r>
      <w:r w:rsidRPr="0025696E">
        <w:rPr>
          <w:i/>
          <w:iCs/>
        </w:rPr>
        <w:t>the Integrated Water Management Framework for Victoria</w:t>
      </w:r>
      <w:r w:rsidRPr="00BC2F40">
        <w:t xml:space="preserve"> (2017), visit: </w:t>
      </w:r>
      <w:hyperlink r:id="rId43" w:history="1">
        <w:r w:rsidRPr="00D94E93">
          <w:rPr>
            <w:rStyle w:val="Hyperlink"/>
          </w:rPr>
          <w:t>www.water.vic.gov.au</w:t>
        </w:r>
      </w:hyperlink>
      <w:r>
        <w:t xml:space="preserve"> </w:t>
      </w:r>
      <w:r w:rsidR="005537AE">
        <w:br w:type="page"/>
      </w:r>
    </w:p>
    <w:p w14:paraId="2AEF3739" w14:textId="09D5E37B" w:rsidR="00BC2F40" w:rsidRDefault="005537AE" w:rsidP="005537AE">
      <w:pPr>
        <w:pStyle w:val="Heading2"/>
      </w:pPr>
      <w:bookmarkStart w:id="34" w:name="_Toc105599786"/>
      <w:bookmarkStart w:id="35" w:name="_Toc117694659"/>
      <w:r>
        <w:lastRenderedPageBreak/>
        <w:t>Strategic Directions Statement – how IWM is happening in the region</w:t>
      </w:r>
      <w:bookmarkEnd w:id="34"/>
      <w:bookmarkEnd w:id="35"/>
    </w:p>
    <w:p w14:paraId="13142A26" w14:textId="332BE549" w:rsidR="005537AE" w:rsidRDefault="00722097" w:rsidP="005537AE">
      <w:pPr>
        <w:pStyle w:val="BodyText"/>
        <w:rPr>
          <w:lang w:eastAsia="en-AU"/>
        </w:rPr>
      </w:pPr>
      <w:r w:rsidRPr="00722097">
        <w:rPr>
          <w:lang w:eastAsia="en-AU"/>
        </w:rPr>
        <w:t>This SDS articulates the collaborative intent and shared agreement of all stakeholders involved in the forum. It describes the water security challenges and opportunities in the region, sets the strategic direction for the next few years, and outlines</w:t>
      </w:r>
      <w:r>
        <w:rPr>
          <w:lang w:eastAsia="en-AU"/>
        </w:rPr>
        <w:t xml:space="preserve"> </w:t>
      </w:r>
      <w:r w:rsidR="00602003" w:rsidRPr="00602003">
        <w:rPr>
          <w:lang w:eastAsia="en-AU"/>
        </w:rPr>
        <w:t xml:space="preserve">the ‘best </w:t>
      </w:r>
      <w:proofErr w:type="gramStart"/>
      <w:r w:rsidR="00602003" w:rsidRPr="00602003">
        <w:rPr>
          <w:lang w:eastAsia="en-AU"/>
        </w:rPr>
        <w:t>endeavours’</w:t>
      </w:r>
      <w:proofErr w:type="gramEnd"/>
      <w:r w:rsidR="00602003" w:rsidRPr="00602003">
        <w:rPr>
          <w:lang w:eastAsia="en-AU"/>
        </w:rPr>
        <w:t xml:space="preserve"> or ways in which IWM is and will be applied through opportunities that are proposed, in-progress or completed in the region.</w:t>
      </w:r>
    </w:p>
    <w:p w14:paraId="5C636BE8" w14:textId="2F440CE8" w:rsidR="00FC05AE" w:rsidRDefault="00FC05AE" w:rsidP="00FC05AE">
      <w:pPr>
        <w:pStyle w:val="BodyText"/>
        <w:rPr>
          <w:lang w:eastAsia="en-AU"/>
        </w:rPr>
      </w:pPr>
      <w:r>
        <w:rPr>
          <w:lang w:eastAsia="en-AU"/>
        </w:rPr>
        <w:t xml:space="preserve">This is the first update to the </w:t>
      </w:r>
      <w:r w:rsidR="00127C80">
        <w:rPr>
          <w:lang w:eastAsia="en-AU"/>
        </w:rPr>
        <w:t>East Gippsland IWM</w:t>
      </w:r>
      <w:r>
        <w:rPr>
          <w:lang w:eastAsia="en-AU"/>
        </w:rPr>
        <w:t xml:space="preserve"> SDS produced in 2018, and includes:</w:t>
      </w:r>
    </w:p>
    <w:p w14:paraId="6D2F9039" w14:textId="0DB9E8F2" w:rsidR="00FC05AE" w:rsidRDefault="00FC05AE" w:rsidP="00A27543">
      <w:pPr>
        <w:pStyle w:val="ListBullet"/>
      </w:pPr>
      <w:r>
        <w:t>an update on progress to date</w:t>
      </w:r>
    </w:p>
    <w:p w14:paraId="54BCDEF4" w14:textId="60476B91" w:rsidR="00FC05AE" w:rsidRDefault="00FC05AE" w:rsidP="00A27543">
      <w:pPr>
        <w:pStyle w:val="ListBullet"/>
      </w:pPr>
      <w:r>
        <w:t>case studies illustrating IWM in the region</w:t>
      </w:r>
    </w:p>
    <w:p w14:paraId="698DDDC0" w14:textId="4277C112" w:rsidR="00602003" w:rsidRDefault="00FC05AE" w:rsidP="00A27543">
      <w:pPr>
        <w:pStyle w:val="ListBullet"/>
      </w:pPr>
      <w:r>
        <w:t>details of planned and potential opportunities designed to meet the strategic outcomes and key challenges over the next three to five years.</w:t>
      </w:r>
    </w:p>
    <w:p w14:paraId="1B15C874" w14:textId="69A09E69" w:rsidR="00281A09" w:rsidRDefault="00281A09" w:rsidP="00281A09">
      <w:pPr>
        <w:pStyle w:val="BodyText"/>
        <w:rPr>
          <w:lang w:eastAsia="en-AU"/>
        </w:rPr>
      </w:pPr>
      <w:r>
        <w:rPr>
          <w:lang w:eastAsia="en-AU"/>
        </w:rPr>
        <w:t xml:space="preserve">Significantly, at the time of writing this document, the Central and Gippsland Region Sustainable Water Strategy (SWS) and East Gippsland Water’s 2022 Urban Water Strategy were recently </w:t>
      </w:r>
      <w:proofErr w:type="gramStart"/>
      <w:r>
        <w:rPr>
          <w:lang w:eastAsia="en-AU"/>
        </w:rPr>
        <w:t>published</w:t>
      </w:r>
      <w:proofErr w:type="gramEnd"/>
      <w:r>
        <w:rPr>
          <w:lang w:eastAsia="en-AU"/>
        </w:rPr>
        <w:t xml:space="preserve"> and East Gippsland Water’s 2023-2028 price submission are in development or is being finalised. These all contain recommendations related to IWM, some of which will be articulated, delivered and reported on separately to the IWM forum. For example, the Central and Gippsland Region SWS proposes includes an action to embed IWM objectives in major urban developments and to include IWM criteria in planning guidance and land-use decisions, and while the urban water strategy proposes to pursue small and large-scale IWM initiatives to reduce drinking water demand. </w:t>
      </w:r>
    </w:p>
    <w:p w14:paraId="76FBFC46" w14:textId="7C4364E5" w:rsidR="00A27543" w:rsidRDefault="00281A09" w:rsidP="00281A09">
      <w:pPr>
        <w:pStyle w:val="BodyText"/>
        <w:rPr>
          <w:lang w:eastAsia="en-AU"/>
        </w:rPr>
      </w:pPr>
      <w:r>
        <w:rPr>
          <w:lang w:eastAsia="en-AU"/>
        </w:rPr>
        <w:t>This SDS has been developed to complement them and other plans and strategies that apply to the region relating to water, climate change, the rights of First Nations peoples and catchment management</w:t>
      </w:r>
      <w:r w:rsidR="008F2CBA">
        <w:rPr>
          <w:lang w:eastAsia="en-AU"/>
        </w:rPr>
        <w:t xml:space="preserve">. </w:t>
      </w:r>
    </w:p>
    <w:p w14:paraId="6FF3DA82" w14:textId="212D31FD" w:rsidR="002433B4" w:rsidRDefault="008038AD" w:rsidP="00A440D7">
      <w:pPr>
        <w:pStyle w:val="BodyText"/>
        <w:rPr>
          <w:lang w:eastAsia="en-AU"/>
        </w:rPr>
      </w:pPr>
      <w:r w:rsidRPr="008038AD">
        <w:rPr>
          <w:lang w:eastAsia="en-AU"/>
        </w:rPr>
        <w:t xml:space="preserve">The key related policies, strategies and plans for the </w:t>
      </w:r>
      <w:r w:rsidR="008C483A">
        <w:rPr>
          <w:lang w:eastAsia="en-AU"/>
        </w:rPr>
        <w:t>East Gippsland</w:t>
      </w:r>
      <w:r w:rsidR="008C483A" w:rsidRPr="008038AD">
        <w:rPr>
          <w:lang w:eastAsia="en-AU"/>
        </w:rPr>
        <w:t xml:space="preserve"> </w:t>
      </w:r>
      <w:r w:rsidRPr="008038AD">
        <w:rPr>
          <w:lang w:eastAsia="en-AU"/>
        </w:rPr>
        <w:t xml:space="preserve">region are listed </w:t>
      </w:r>
      <w:proofErr w:type="gramStart"/>
      <w:r w:rsidRPr="008038AD">
        <w:rPr>
          <w:lang w:eastAsia="en-AU"/>
        </w:rPr>
        <w:t>below, and</w:t>
      </w:r>
      <w:proofErr w:type="gramEnd"/>
      <w:r w:rsidRPr="008038AD">
        <w:rPr>
          <w:lang w:eastAsia="en-AU"/>
        </w:rPr>
        <w:t xml:space="preserve"> displayed visually in Figure 4.</w:t>
      </w:r>
    </w:p>
    <w:p w14:paraId="2318B5D1" w14:textId="100AA795" w:rsidR="008038AD" w:rsidRDefault="00733080" w:rsidP="00733080">
      <w:pPr>
        <w:pStyle w:val="Heading3"/>
      </w:pPr>
      <w:bookmarkStart w:id="36" w:name="_Toc117694660"/>
      <w:r>
        <w:t>Relevant plans and strategies in place in the region</w:t>
      </w:r>
      <w:bookmarkEnd w:id="36"/>
    </w:p>
    <w:p w14:paraId="01AE303B" w14:textId="77777777" w:rsidR="007F672F" w:rsidRPr="007F672F" w:rsidRDefault="007F672F" w:rsidP="007F672F">
      <w:pPr>
        <w:spacing w:before="60" w:after="120" w:line="276" w:lineRule="auto"/>
        <w:rPr>
          <w:rFonts w:cs="Times New Roman"/>
          <w:b/>
          <w:bCs/>
          <w:lang w:eastAsia="en-US"/>
        </w:rPr>
      </w:pPr>
      <w:r w:rsidRPr="007F672F">
        <w:rPr>
          <w:rFonts w:cs="Times New Roman"/>
          <w:b/>
          <w:bCs/>
          <w:lang w:eastAsia="en-US"/>
        </w:rPr>
        <w:t>Water for Victoria</w:t>
      </w:r>
    </w:p>
    <w:p w14:paraId="127CEE06" w14:textId="77777777" w:rsidR="007F672F" w:rsidRPr="007F672F" w:rsidRDefault="007F672F" w:rsidP="007F672F">
      <w:pPr>
        <w:spacing w:before="60" w:after="120" w:line="276" w:lineRule="auto"/>
        <w:rPr>
          <w:rFonts w:cs="Times New Roman"/>
        </w:rPr>
      </w:pPr>
      <w:r w:rsidRPr="007F672F">
        <w:rPr>
          <w:rFonts w:cs="Times New Roman"/>
        </w:rPr>
        <w:t>State government strategic plan for management of our water resources, now and into the future.</w:t>
      </w:r>
    </w:p>
    <w:p w14:paraId="5DC42490" w14:textId="77777777" w:rsidR="007F672F" w:rsidRPr="007F672F" w:rsidRDefault="007F672F" w:rsidP="007F672F">
      <w:pPr>
        <w:spacing w:before="60" w:after="120" w:line="276" w:lineRule="auto"/>
        <w:rPr>
          <w:rFonts w:cs="Times New Roman"/>
          <w:b/>
          <w:bCs/>
        </w:rPr>
      </w:pPr>
      <w:r w:rsidRPr="007F672F">
        <w:rPr>
          <w:rFonts w:cs="Times New Roman"/>
          <w:b/>
          <w:bCs/>
        </w:rPr>
        <w:t>Integrated Water Management Framework for Victoria</w:t>
      </w:r>
    </w:p>
    <w:p w14:paraId="48BB84A0" w14:textId="77777777" w:rsidR="007F672F" w:rsidRPr="007F672F" w:rsidRDefault="007F672F" w:rsidP="007F672F">
      <w:pPr>
        <w:spacing w:before="60" w:after="120" w:line="276" w:lineRule="auto"/>
        <w:rPr>
          <w:rFonts w:cs="Times New Roman"/>
        </w:rPr>
      </w:pPr>
      <w:r w:rsidRPr="007F672F">
        <w:rPr>
          <w:rFonts w:cs="Times New Roman"/>
        </w:rPr>
        <w:t>Whole-of-catchment water planning and management to maintain and enhance the liveability, prosperity and resiliency of Victoria’s cities and towns. Applied through five metropolitan and 10 regional IWM forums.</w:t>
      </w:r>
    </w:p>
    <w:p w14:paraId="5CDBBF92" w14:textId="14FF7B97" w:rsidR="007F672F" w:rsidRPr="007F672F" w:rsidRDefault="007F672F" w:rsidP="007F672F">
      <w:pPr>
        <w:spacing w:before="60" w:after="120" w:line="276" w:lineRule="auto"/>
        <w:rPr>
          <w:rFonts w:cs="Times New Roman"/>
          <w:b/>
          <w:bCs/>
        </w:rPr>
      </w:pPr>
      <w:r w:rsidRPr="007F672F">
        <w:rPr>
          <w:rFonts w:cs="Times New Roman"/>
          <w:b/>
          <w:bCs/>
        </w:rPr>
        <w:lastRenderedPageBreak/>
        <w:t xml:space="preserve">2022 </w:t>
      </w:r>
      <w:r>
        <w:rPr>
          <w:rFonts w:cs="Times New Roman"/>
          <w:b/>
          <w:bCs/>
          <w:lang w:eastAsia="en-US"/>
        </w:rPr>
        <w:t xml:space="preserve">East Gippsland </w:t>
      </w:r>
      <w:r w:rsidRPr="007F672F">
        <w:rPr>
          <w:rFonts w:cs="Times New Roman"/>
          <w:b/>
          <w:bCs/>
        </w:rPr>
        <w:t>IWM Forum SDS</w:t>
      </w:r>
    </w:p>
    <w:p w14:paraId="75512EE2" w14:textId="77777777" w:rsidR="007F672F" w:rsidRPr="007F672F" w:rsidRDefault="007F672F" w:rsidP="007F672F">
      <w:pPr>
        <w:spacing w:before="60" w:after="120" w:line="276" w:lineRule="auto"/>
        <w:rPr>
          <w:rFonts w:cs="Times New Roman"/>
        </w:rPr>
      </w:pPr>
      <w:r w:rsidRPr="007F672F">
        <w:rPr>
          <w:rFonts w:cs="Times New Roman"/>
        </w:rPr>
        <w:t>A revised statement of agreement between Forum members of urban and peri-urban IWM priorities and collaborative projects.</w:t>
      </w:r>
    </w:p>
    <w:p w14:paraId="171A016C" w14:textId="2912C201" w:rsidR="00B94AD3" w:rsidRPr="007F672F" w:rsidRDefault="00B94AD3" w:rsidP="00B94AD3">
      <w:pPr>
        <w:spacing w:before="60" w:after="120" w:line="276" w:lineRule="auto"/>
        <w:rPr>
          <w:rFonts w:cs="Times New Roman"/>
          <w:b/>
          <w:bCs/>
          <w:lang w:eastAsia="en-US"/>
        </w:rPr>
      </w:pPr>
      <w:r>
        <w:rPr>
          <w:rFonts w:cs="Times New Roman"/>
          <w:b/>
          <w:bCs/>
          <w:lang w:eastAsia="en-US"/>
        </w:rPr>
        <w:t>East Gippsland Water Urban Water Strategy</w:t>
      </w:r>
    </w:p>
    <w:p w14:paraId="08E2F35D" w14:textId="1133F09E" w:rsidR="00B94AD3" w:rsidRDefault="00FD60D6" w:rsidP="00B94AD3">
      <w:pPr>
        <w:spacing w:before="60" w:after="120" w:line="276" w:lineRule="auto"/>
        <w:rPr>
          <w:rFonts w:cs="Times New Roman"/>
        </w:rPr>
      </w:pPr>
      <w:r>
        <w:rPr>
          <w:rFonts w:cs="Times New Roman"/>
        </w:rPr>
        <w:t>A detailed 50-year forecast of water demands for local communities, along with supply options to meet these demands.</w:t>
      </w:r>
    </w:p>
    <w:p w14:paraId="72362752" w14:textId="59C77FFF" w:rsidR="00B94AD3" w:rsidRPr="007F672F" w:rsidRDefault="000F5A6B" w:rsidP="00B94AD3">
      <w:pPr>
        <w:spacing w:before="60" w:after="120" w:line="276" w:lineRule="auto"/>
        <w:rPr>
          <w:rFonts w:cs="Times New Roman"/>
          <w:b/>
          <w:bCs/>
          <w:lang w:eastAsia="en-US"/>
        </w:rPr>
      </w:pPr>
      <w:r>
        <w:rPr>
          <w:rFonts w:cs="Times New Roman"/>
          <w:b/>
          <w:bCs/>
          <w:lang w:eastAsia="en-US"/>
        </w:rPr>
        <w:t>C</w:t>
      </w:r>
      <w:r w:rsidR="00B94AD3" w:rsidRPr="007F672F">
        <w:rPr>
          <w:rFonts w:cs="Times New Roman"/>
          <w:b/>
          <w:bCs/>
          <w:lang w:eastAsia="en-US"/>
        </w:rPr>
        <w:t>a</w:t>
      </w:r>
      <w:r>
        <w:rPr>
          <w:rFonts w:cs="Times New Roman"/>
          <w:b/>
          <w:bCs/>
          <w:lang w:eastAsia="en-US"/>
        </w:rPr>
        <w:t xml:space="preserve">ring for Country Plans: Gunaikurnai Whole of Country Plan </w:t>
      </w:r>
    </w:p>
    <w:p w14:paraId="2EACD5C3" w14:textId="33060341" w:rsidR="000F5A6B" w:rsidRDefault="00FD60D6" w:rsidP="00B94AD3">
      <w:pPr>
        <w:spacing w:before="60" w:after="120" w:line="276" w:lineRule="auto"/>
        <w:rPr>
          <w:rFonts w:cs="Times New Roman"/>
        </w:rPr>
      </w:pPr>
      <w:r>
        <w:rPr>
          <w:rFonts w:cs="Times New Roman"/>
        </w:rPr>
        <w:t>Guiding and promoting the awareness, investment and rights of Aboriginal people and culture, working together now and for future benefits.</w:t>
      </w:r>
    </w:p>
    <w:p w14:paraId="0EC2ACC2" w14:textId="26F57E96" w:rsidR="00B94AD3" w:rsidRPr="007F672F" w:rsidRDefault="000F5A6B" w:rsidP="00B94AD3">
      <w:pPr>
        <w:spacing w:before="60" w:after="120" w:line="276" w:lineRule="auto"/>
        <w:rPr>
          <w:rFonts w:cs="Times New Roman"/>
          <w:b/>
          <w:bCs/>
          <w:lang w:eastAsia="en-US"/>
        </w:rPr>
      </w:pPr>
      <w:r>
        <w:rPr>
          <w:rFonts w:cs="Times New Roman"/>
          <w:b/>
          <w:bCs/>
          <w:lang w:eastAsia="en-US"/>
        </w:rPr>
        <w:t>Gunaikurnai and Victorian Government Joint Ma</w:t>
      </w:r>
      <w:r w:rsidR="00FD60D6">
        <w:rPr>
          <w:rFonts w:cs="Times New Roman"/>
          <w:b/>
          <w:bCs/>
          <w:lang w:eastAsia="en-US"/>
        </w:rPr>
        <w:t>n</w:t>
      </w:r>
      <w:r>
        <w:rPr>
          <w:rFonts w:cs="Times New Roman"/>
          <w:b/>
          <w:bCs/>
          <w:lang w:eastAsia="en-US"/>
        </w:rPr>
        <w:t>agement Plan</w:t>
      </w:r>
    </w:p>
    <w:p w14:paraId="5D6A51FC" w14:textId="3ED4836C" w:rsidR="00B94AD3" w:rsidRPr="007F672F" w:rsidRDefault="00FD60D6" w:rsidP="00B94AD3">
      <w:pPr>
        <w:spacing w:before="60" w:after="120" w:line="276" w:lineRule="auto"/>
        <w:rPr>
          <w:rFonts w:cs="Times New Roman"/>
        </w:rPr>
      </w:pPr>
      <w:r>
        <w:rPr>
          <w:rFonts w:cs="Times New Roman"/>
        </w:rPr>
        <w:t>Setting strategic direction for the join</w:t>
      </w:r>
      <w:r w:rsidR="00EF1C76">
        <w:rPr>
          <w:rFonts w:cs="Times New Roman"/>
        </w:rPr>
        <w:t>t</w:t>
      </w:r>
      <w:r>
        <w:rPr>
          <w:rFonts w:cs="Times New Roman"/>
        </w:rPr>
        <w:t xml:space="preserve"> management partnership </w:t>
      </w:r>
      <w:r w:rsidR="00411E01">
        <w:rPr>
          <w:rFonts w:cs="Times New Roman"/>
        </w:rPr>
        <w:t>between the Gunaikurnai people and the State Government, enabling the knowledge and culture of the Gunaikurnai to include, and be recognised in the management of the ten jointly managed parks and reserves.</w:t>
      </w:r>
    </w:p>
    <w:p w14:paraId="47915BDE" w14:textId="7E3108E1" w:rsidR="00B94AD3" w:rsidRPr="007F672F" w:rsidRDefault="000F5A6B" w:rsidP="00B94AD3">
      <w:pPr>
        <w:spacing w:before="60" w:after="120" w:line="276" w:lineRule="auto"/>
        <w:rPr>
          <w:rFonts w:cs="Times New Roman"/>
          <w:b/>
          <w:bCs/>
          <w:lang w:eastAsia="en-US"/>
        </w:rPr>
      </w:pPr>
      <w:r>
        <w:rPr>
          <w:rFonts w:cs="Times New Roman"/>
          <w:b/>
          <w:bCs/>
          <w:lang w:eastAsia="en-US"/>
        </w:rPr>
        <w:t>Central and Gippsland Region Sustainable Water Strategy</w:t>
      </w:r>
    </w:p>
    <w:p w14:paraId="2E7E21E0" w14:textId="74E47D88" w:rsidR="00B94AD3" w:rsidRPr="007F672F" w:rsidRDefault="00411E01" w:rsidP="00B94AD3">
      <w:pPr>
        <w:spacing w:before="60" w:after="120" w:line="276" w:lineRule="auto"/>
        <w:rPr>
          <w:rFonts w:cs="Times New Roman"/>
        </w:rPr>
      </w:pPr>
      <w:r>
        <w:rPr>
          <w:rFonts w:cs="Times New Roman"/>
        </w:rPr>
        <w:t>Long-term plans and statutory processes for state-wide water resources planning to secure the water future of Victoria’s regions.</w:t>
      </w:r>
    </w:p>
    <w:p w14:paraId="7C62568D" w14:textId="2AFE7B7E" w:rsidR="00B94AD3" w:rsidRPr="007F672F" w:rsidRDefault="00F845B3" w:rsidP="00B94AD3">
      <w:pPr>
        <w:spacing w:before="60" w:after="120" w:line="276" w:lineRule="auto"/>
        <w:rPr>
          <w:rFonts w:cs="Times New Roman"/>
          <w:b/>
          <w:bCs/>
          <w:lang w:eastAsia="en-US"/>
        </w:rPr>
      </w:pPr>
      <w:r>
        <w:rPr>
          <w:rFonts w:cs="Times New Roman"/>
          <w:b/>
          <w:bCs/>
          <w:lang w:eastAsia="en-US"/>
        </w:rPr>
        <w:t>East Gippsland Regional Catchment Strategy</w:t>
      </w:r>
    </w:p>
    <w:p w14:paraId="4A4D3B6E" w14:textId="29001947" w:rsidR="00F845B3" w:rsidRDefault="00411E01" w:rsidP="00B94AD3">
      <w:pPr>
        <w:spacing w:before="60" w:after="120" w:line="276" w:lineRule="auto"/>
        <w:rPr>
          <w:rFonts w:cs="Times New Roman"/>
        </w:rPr>
      </w:pPr>
      <w:r>
        <w:rPr>
          <w:rFonts w:cs="Times New Roman"/>
        </w:rPr>
        <w:t xml:space="preserve">Guides actions to improve and protect the catchment’s natural resources (water, land, biodiversity). Looking after these precious natural resources underpins the social, cultural and economic wellbeing of the diverse communities that make up the East Gippsland Catchment. </w:t>
      </w:r>
    </w:p>
    <w:p w14:paraId="0119050C" w14:textId="32F70A27" w:rsidR="00B94AD3" w:rsidRPr="007F672F" w:rsidRDefault="00F845B3" w:rsidP="00B94AD3">
      <w:pPr>
        <w:spacing w:before="60" w:after="120" w:line="276" w:lineRule="auto"/>
        <w:rPr>
          <w:rFonts w:cs="Times New Roman"/>
          <w:b/>
          <w:bCs/>
          <w:lang w:eastAsia="en-US"/>
        </w:rPr>
      </w:pPr>
      <w:r>
        <w:rPr>
          <w:rFonts w:cs="Times New Roman"/>
          <w:b/>
          <w:bCs/>
          <w:lang w:eastAsia="en-US"/>
        </w:rPr>
        <w:t xml:space="preserve">Gippsland Regional Climate Change Adaptation Strategy </w:t>
      </w:r>
    </w:p>
    <w:p w14:paraId="37E3412D" w14:textId="2517D6AF" w:rsidR="00B94AD3" w:rsidRPr="007F672F" w:rsidRDefault="00906792" w:rsidP="00B94AD3">
      <w:pPr>
        <w:spacing w:before="60" w:after="120" w:line="276" w:lineRule="auto"/>
        <w:rPr>
          <w:rFonts w:cs="Times New Roman"/>
        </w:rPr>
      </w:pPr>
      <w:r>
        <w:rPr>
          <w:rFonts w:cs="Times New Roman"/>
        </w:rPr>
        <w:t xml:space="preserve">Five-year practical strategy developed by the community to address the unique challenges and opportunities that climate change brings to the </w:t>
      </w:r>
      <w:proofErr w:type="gramStart"/>
      <w:r>
        <w:rPr>
          <w:rFonts w:cs="Times New Roman"/>
        </w:rPr>
        <w:t>region, and</w:t>
      </w:r>
      <w:proofErr w:type="gramEnd"/>
      <w:r>
        <w:rPr>
          <w:rFonts w:cs="Times New Roman"/>
        </w:rPr>
        <w:t xml:space="preserve"> guide local action. </w:t>
      </w:r>
    </w:p>
    <w:p w14:paraId="4AF4DC90" w14:textId="1E611083" w:rsidR="00B94AD3" w:rsidRPr="007F672F" w:rsidRDefault="00F845B3" w:rsidP="00B94AD3">
      <w:pPr>
        <w:spacing w:before="60" w:after="120" w:line="276" w:lineRule="auto"/>
        <w:rPr>
          <w:rFonts w:cs="Times New Roman"/>
          <w:b/>
          <w:bCs/>
          <w:lang w:eastAsia="en-US"/>
        </w:rPr>
      </w:pPr>
      <w:r>
        <w:rPr>
          <w:rFonts w:cs="Times New Roman"/>
          <w:b/>
          <w:bCs/>
          <w:lang w:eastAsia="en-US"/>
        </w:rPr>
        <w:t xml:space="preserve">Local </w:t>
      </w:r>
      <w:r w:rsidR="007352A2">
        <w:rPr>
          <w:rFonts w:cs="Times New Roman"/>
          <w:b/>
          <w:bCs/>
          <w:lang w:eastAsia="en-US"/>
        </w:rPr>
        <w:t xml:space="preserve">government plans and strategies </w:t>
      </w:r>
    </w:p>
    <w:p w14:paraId="52D75CA0" w14:textId="38280D1F" w:rsidR="00733080" w:rsidRPr="00733080" w:rsidRDefault="00906792" w:rsidP="00733080">
      <w:pPr>
        <w:pStyle w:val="BodyText"/>
        <w:rPr>
          <w:lang w:eastAsia="en-AU"/>
        </w:rPr>
      </w:pPr>
      <w:r>
        <w:rPr>
          <w:lang w:eastAsia="en-AU"/>
        </w:rPr>
        <w:t xml:space="preserve">Various strategies, plans, guidelines and other documents that have connections to the water cycle. Examples include open space plans, local climate change adaptation strategies, and natural disaster management plans. </w:t>
      </w:r>
    </w:p>
    <w:p w14:paraId="12952243" w14:textId="25683B41" w:rsidR="00A440D7" w:rsidRDefault="00315A77" w:rsidP="00A440D7">
      <w:pPr>
        <w:pStyle w:val="BodyText"/>
        <w:rPr>
          <w:lang w:eastAsia="en-AU"/>
        </w:rPr>
      </w:pPr>
      <w:r w:rsidRPr="00315A77">
        <w:rPr>
          <w:noProof/>
        </w:rPr>
        <w:lastRenderedPageBreak/>
        <w:drawing>
          <wp:inline distT="0" distB="0" distL="0" distR="0" wp14:anchorId="009468E8" wp14:editId="4DADCF53">
            <wp:extent cx="6113721" cy="6950227"/>
            <wp:effectExtent l="0" t="0" r="1905" b="3175"/>
            <wp:docPr id="24" name="Picture 24" descr="A visual representation of the key related policies, strategies and plans for the East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visual representation of the key related policies, strategies and plans for the East Gippsland region."/>
                    <pic:cNvPicPr/>
                  </pic:nvPicPr>
                  <pic:blipFill>
                    <a:blip r:embed="rId44"/>
                    <a:stretch>
                      <a:fillRect/>
                    </a:stretch>
                  </pic:blipFill>
                  <pic:spPr>
                    <a:xfrm>
                      <a:off x="0" y="0"/>
                      <a:ext cx="6122982" cy="6960755"/>
                    </a:xfrm>
                    <a:prstGeom prst="rect">
                      <a:avLst/>
                    </a:prstGeom>
                  </pic:spPr>
                </pic:pic>
              </a:graphicData>
            </a:graphic>
          </wp:inline>
        </w:drawing>
      </w:r>
    </w:p>
    <w:p w14:paraId="11BEE0E4" w14:textId="3B8DC617" w:rsidR="00A440D7" w:rsidRDefault="003E4121" w:rsidP="002433B4">
      <w:pPr>
        <w:pStyle w:val="CaptionImageorFigure"/>
      </w:pPr>
      <w:r w:rsidRPr="00C74F0C">
        <w:t xml:space="preserve">Figure 4: </w:t>
      </w:r>
      <w:r w:rsidR="008411DF" w:rsidRPr="00C74F0C">
        <w:t>The SDS</w:t>
      </w:r>
      <w:r w:rsidR="008411DF" w:rsidRPr="008411DF">
        <w:t xml:space="preserve"> and related water policies, strategies and plans of the region</w:t>
      </w:r>
    </w:p>
    <w:p w14:paraId="238C2B21" w14:textId="655B5907" w:rsidR="00DB7354" w:rsidRDefault="00334975" w:rsidP="00334975">
      <w:pPr>
        <w:pStyle w:val="Heading1TopofPage"/>
        <w:framePr w:wrap="around"/>
      </w:pPr>
      <w:bookmarkStart w:id="37" w:name="_Toc105599787"/>
      <w:bookmarkStart w:id="38" w:name="_Toc117694661"/>
      <w:r>
        <w:lastRenderedPageBreak/>
        <w:t xml:space="preserve">Water in the </w:t>
      </w:r>
      <w:r w:rsidR="00D75F66">
        <w:t xml:space="preserve">East Gippsland </w:t>
      </w:r>
      <w:r w:rsidR="004F4E47">
        <w:t>r</w:t>
      </w:r>
      <w:r w:rsidR="00D75F66">
        <w:t>egion</w:t>
      </w:r>
      <w:bookmarkEnd w:id="37"/>
      <w:bookmarkEnd w:id="38"/>
    </w:p>
    <w:p w14:paraId="08360CAE" w14:textId="0F883167" w:rsidR="00334975" w:rsidRDefault="002109B9" w:rsidP="009656E6">
      <w:pPr>
        <w:pStyle w:val="IntroFeatureText"/>
      </w:pPr>
      <w:r w:rsidRPr="002109B9">
        <w:t xml:space="preserve">The East Gippsland IWM Forum region covers an area of about 21,000 square kilometres stretching from Lindenow in the west through the region’s main business centre, Bairnsdale, and Buchan in the heart of Snowy River country, to the holiday centres of Paynesville, Metung, Orbost, </w:t>
      </w:r>
      <w:proofErr w:type="spellStart"/>
      <w:r w:rsidRPr="002109B9">
        <w:t>Cann</w:t>
      </w:r>
      <w:proofErr w:type="spellEnd"/>
      <w:r w:rsidRPr="002109B9">
        <w:t xml:space="preserve"> River, Lakes Entrance and Mallacoota in the east together with the alpine resort of Dinner Plain and Omeo, in the highlands. It is home to 55,000 people</w:t>
      </w:r>
      <w:r>
        <w:rPr>
          <w:rStyle w:val="FootnoteReference"/>
        </w:rPr>
        <w:footnoteReference w:id="3"/>
      </w:r>
      <w:r w:rsidRPr="002109B9">
        <w:t xml:space="preserve"> and includes the traditional lands and waters of the </w:t>
      </w:r>
      <w:proofErr w:type="spellStart"/>
      <w:r w:rsidRPr="002109B9">
        <w:t>Gunaikurnai</w:t>
      </w:r>
      <w:proofErr w:type="spellEnd"/>
      <w:r w:rsidRPr="002109B9">
        <w:t xml:space="preserve">, Bidwell and </w:t>
      </w:r>
      <w:proofErr w:type="spellStart"/>
      <w:r w:rsidRPr="002109B9">
        <w:t>Ngarigo</w:t>
      </w:r>
      <w:proofErr w:type="spellEnd"/>
      <w:r w:rsidRPr="002109B9">
        <w:t xml:space="preserve"> Monero peoples, for whom water has a fundamental and intrinsic cultural and spiritual value. </w:t>
      </w:r>
    </w:p>
    <w:p w14:paraId="303A6ACF" w14:textId="5A38840B" w:rsidR="00E07A09" w:rsidRDefault="00E07A09" w:rsidP="00E07A09">
      <w:pPr>
        <w:pStyle w:val="BodyText"/>
      </w:pPr>
      <w:r w:rsidRPr="00E07A09">
        <w:t xml:space="preserve">These lands include spectacular mountains, floodplains, forests, lakes and beaches. More than 80 per cent of the land in East Gippsland is publicly owned and vested in state forests, national and coastal parks and marine national parks. Intact habitats support many different plants and animals, with records of over 5,000 species. This includes at least 35 species of plant that are unique to the region. The Gippsland Lakes Ramsar site is an important drought refuge for waterbirds. Other local wildlife includes wombats, lace monitors, superb lyrebirds, Gippsland water dragons, and other keystone and iconic species. Tourists and day-trippers come year-round to visit these destinations and enjoy hiking, sailing, fishing, birdwatching, and visiting picturesque towns. </w:t>
      </w:r>
    </w:p>
    <w:p w14:paraId="544A2B4B" w14:textId="68382D54" w:rsidR="003C78DE" w:rsidRDefault="003C78DE" w:rsidP="003C78DE">
      <w:pPr>
        <w:pStyle w:val="BodyText"/>
      </w:pPr>
      <w:r>
        <w:t xml:space="preserve">Water in the region is an important economic enabler, supporting these tourism and recreation destinations, as well as agriculture, horticulture, grazing, forestry, commercial and recreational fisheries, manufacturing and food processing, and residential development to accommodate a growing population. Sediment from flooding makes the soil of the Mitchell River flats rich and fertile, for example, supporting several productive vegetable-growing agribusinesses. </w:t>
      </w:r>
    </w:p>
    <w:p w14:paraId="78FCCF4E" w14:textId="3C6BD1E2" w:rsidR="003C78DE" w:rsidRDefault="003C78DE" w:rsidP="003C78DE">
      <w:pPr>
        <w:pStyle w:val="BodyText"/>
      </w:pPr>
      <w:r>
        <w:t>The health and liveability of the thriving region is underpinned by water, from the provision of safe drinking water and the management of stormwater and wastewater in urban areas, to the rivers, rainfall and other environmental flows that support culture, ecosystems, landscapes and wildlife.</w:t>
      </w:r>
    </w:p>
    <w:p w14:paraId="59DC19B3" w14:textId="032076CD" w:rsidR="004038DF" w:rsidRDefault="0085531F" w:rsidP="0026785F">
      <w:pPr>
        <w:pStyle w:val="BoldHeading"/>
      </w:pPr>
      <w:r>
        <w:t>Snapshot of k</w:t>
      </w:r>
      <w:r w:rsidR="004038DF">
        <w:t>ey climate, land use and populations statistics for the</w:t>
      </w:r>
      <w:r w:rsidR="002E5249">
        <w:t xml:space="preserve"> East Gippsland</w:t>
      </w:r>
      <w:r w:rsidR="004038DF">
        <w:t xml:space="preserve"> region.</w:t>
      </w:r>
    </w:p>
    <w:p w14:paraId="6E19E5EF" w14:textId="69C3AF07" w:rsidR="0099632B" w:rsidRPr="003B2E9B" w:rsidRDefault="0099632B" w:rsidP="00066E85">
      <w:pPr>
        <w:pStyle w:val="BodyText"/>
        <w:rPr>
          <w:b/>
          <w:bCs/>
          <w:lang w:eastAsia="en-AU"/>
        </w:rPr>
      </w:pPr>
      <w:r w:rsidRPr="003B2E9B">
        <w:rPr>
          <w:b/>
          <w:bCs/>
          <w:lang w:eastAsia="en-AU"/>
        </w:rPr>
        <w:t>Population</w:t>
      </w:r>
    </w:p>
    <w:p w14:paraId="04D6BDFB" w14:textId="6E885453" w:rsidR="005F0E38" w:rsidRDefault="005F0E38" w:rsidP="00F413B4">
      <w:pPr>
        <w:pStyle w:val="ListBullet"/>
      </w:pPr>
      <w:r>
        <w:t>Population in 2021</w:t>
      </w:r>
      <w:r w:rsidR="0052684A">
        <w:t xml:space="preserve"> – </w:t>
      </w:r>
      <w:r w:rsidR="002E5249">
        <w:t>55,</w:t>
      </w:r>
      <w:r w:rsidR="007C0733">
        <w:t>400</w:t>
      </w:r>
    </w:p>
    <w:p w14:paraId="5C10CFA2" w14:textId="58295F7B" w:rsidR="00D04896" w:rsidRDefault="00D04896" w:rsidP="00F413B4">
      <w:pPr>
        <w:pStyle w:val="ListBullet"/>
      </w:pPr>
      <w:r>
        <w:t xml:space="preserve">Population </w:t>
      </w:r>
      <w:r w:rsidR="003B2E9B">
        <w:t xml:space="preserve">in 2036 – </w:t>
      </w:r>
      <w:r w:rsidR="007C0733">
        <w:t>63,300</w:t>
      </w:r>
    </w:p>
    <w:p w14:paraId="0D7241B2" w14:textId="27DDA5E0" w:rsidR="003B2E9B" w:rsidRDefault="003B2E9B" w:rsidP="00F413B4">
      <w:pPr>
        <w:pStyle w:val="ListBullet"/>
      </w:pPr>
      <w:r>
        <w:lastRenderedPageBreak/>
        <w:t xml:space="preserve">Population </w:t>
      </w:r>
      <w:proofErr w:type="gramStart"/>
      <w:r>
        <w:t>increase</w:t>
      </w:r>
      <w:proofErr w:type="gramEnd"/>
      <w:r>
        <w:t xml:space="preserve"> – </w:t>
      </w:r>
      <w:r w:rsidR="007C0733">
        <w:t>14</w:t>
      </w:r>
      <w:r>
        <w:t>%</w:t>
      </w:r>
    </w:p>
    <w:p w14:paraId="56E6BFAC" w14:textId="08B08E16" w:rsidR="003B2E9B" w:rsidRPr="00935D9C" w:rsidRDefault="00F413B4" w:rsidP="009F2F37">
      <w:pPr>
        <w:pStyle w:val="BodyText"/>
        <w:rPr>
          <w:b/>
          <w:bCs/>
          <w:lang w:eastAsia="en-AU"/>
        </w:rPr>
      </w:pPr>
      <w:r w:rsidRPr="00935D9C">
        <w:rPr>
          <w:b/>
          <w:bCs/>
          <w:lang w:eastAsia="en-AU"/>
        </w:rPr>
        <w:t>Land use</w:t>
      </w:r>
    </w:p>
    <w:p w14:paraId="7847958A" w14:textId="2E9B9BA1" w:rsidR="00F413B4" w:rsidRDefault="00DF2739" w:rsidP="00935D9C">
      <w:pPr>
        <w:pStyle w:val="ListBullet"/>
      </w:pPr>
      <w:r>
        <w:t>Public land</w:t>
      </w:r>
      <w:r w:rsidR="00F413B4">
        <w:t xml:space="preserve"> – </w:t>
      </w:r>
      <w:r w:rsidR="0095012E">
        <w:t>83</w:t>
      </w:r>
      <w:r w:rsidR="00F413B4">
        <w:t>%</w:t>
      </w:r>
    </w:p>
    <w:p w14:paraId="5EAAA897" w14:textId="035E9820" w:rsidR="0052684A" w:rsidRDefault="0095012E" w:rsidP="0095012E">
      <w:pPr>
        <w:pStyle w:val="ListBullet"/>
      </w:pPr>
      <w:r>
        <w:t>Private Land 12</w:t>
      </w:r>
      <w:r w:rsidR="0052684A">
        <w:t>%</w:t>
      </w:r>
    </w:p>
    <w:p w14:paraId="4B940199" w14:textId="425A335C" w:rsidR="00900FC8" w:rsidRPr="00972B40" w:rsidRDefault="00935D9C" w:rsidP="009F2F37">
      <w:pPr>
        <w:pStyle w:val="BodyText"/>
        <w:rPr>
          <w:b/>
          <w:bCs/>
          <w:lang w:eastAsia="en-AU"/>
        </w:rPr>
      </w:pPr>
      <w:r w:rsidRPr="00972B40">
        <w:rPr>
          <w:b/>
          <w:bCs/>
          <w:lang w:eastAsia="en-AU"/>
        </w:rPr>
        <w:t>Catchment</w:t>
      </w:r>
      <w:r w:rsidR="00CD58CA" w:rsidRPr="00972B40">
        <w:rPr>
          <w:b/>
          <w:bCs/>
          <w:lang w:eastAsia="en-AU"/>
        </w:rPr>
        <w:t xml:space="preserve"> and waterway condition</w:t>
      </w:r>
    </w:p>
    <w:p w14:paraId="64569F89" w14:textId="3182D66A" w:rsidR="00935D9C" w:rsidRDefault="002E6937" w:rsidP="002E6937">
      <w:pPr>
        <w:pStyle w:val="ListBullet"/>
      </w:pPr>
      <w:r>
        <w:t xml:space="preserve">Catchment size – </w:t>
      </w:r>
      <w:r w:rsidR="0095012E">
        <w:t>21,000</w:t>
      </w:r>
      <w:r>
        <w:t xml:space="preserve"> Km</w:t>
      </w:r>
      <w:r w:rsidRPr="7E74AF0E">
        <w:rPr>
          <w:vertAlign w:val="superscript"/>
        </w:rPr>
        <w:t>2</w:t>
      </w:r>
    </w:p>
    <w:p w14:paraId="4581E393" w14:textId="31CA6BEE" w:rsidR="002E6937" w:rsidRDefault="006A25C2" w:rsidP="00981DA7">
      <w:pPr>
        <w:pStyle w:val="ListBullet"/>
        <w:spacing w:after="0"/>
      </w:pPr>
      <w:r>
        <w:t>Waterway condition</w:t>
      </w:r>
    </w:p>
    <w:p w14:paraId="2AD36745" w14:textId="5B809632" w:rsidR="006A25C2" w:rsidRDefault="006A25C2" w:rsidP="004A0D2A">
      <w:pPr>
        <w:pStyle w:val="ListAlpha3"/>
      </w:pPr>
      <w:r>
        <w:t>Excellent – 53%</w:t>
      </w:r>
    </w:p>
    <w:p w14:paraId="710E4D8F" w14:textId="693EDD87" w:rsidR="00972B40" w:rsidRDefault="00B21714" w:rsidP="004A0D2A">
      <w:pPr>
        <w:pStyle w:val="ListAlpha3"/>
      </w:pPr>
      <w:r>
        <w:t xml:space="preserve">Good </w:t>
      </w:r>
      <w:r w:rsidR="001530C4">
        <w:t>–</w:t>
      </w:r>
      <w:r>
        <w:t xml:space="preserve"> </w:t>
      </w:r>
      <w:r w:rsidR="006A25C2">
        <w:t>27</w:t>
      </w:r>
      <w:r w:rsidR="001530C4">
        <w:t>%</w:t>
      </w:r>
    </w:p>
    <w:p w14:paraId="0BDB6351" w14:textId="21A2E834" w:rsidR="001530C4" w:rsidRDefault="001530C4" w:rsidP="004A0D2A">
      <w:pPr>
        <w:pStyle w:val="ListAlpha3"/>
      </w:pPr>
      <w:r>
        <w:t xml:space="preserve">Moderate – </w:t>
      </w:r>
      <w:r w:rsidR="00B64478">
        <w:t>17</w:t>
      </w:r>
      <w:r>
        <w:t>%</w:t>
      </w:r>
    </w:p>
    <w:p w14:paraId="30CA8239" w14:textId="283ADD9F" w:rsidR="001530C4" w:rsidRDefault="001530C4" w:rsidP="004A0D2A">
      <w:pPr>
        <w:pStyle w:val="ListAlpha3"/>
      </w:pPr>
      <w:r>
        <w:t xml:space="preserve">Poor – </w:t>
      </w:r>
      <w:r w:rsidR="00B64478">
        <w:t>2</w:t>
      </w:r>
      <w:r>
        <w:t>%</w:t>
      </w:r>
    </w:p>
    <w:p w14:paraId="5D3F10B8" w14:textId="34929861" w:rsidR="001530C4" w:rsidRDefault="001530C4" w:rsidP="00806D44">
      <w:pPr>
        <w:pStyle w:val="ListAlpha3"/>
      </w:pPr>
      <w:r>
        <w:t xml:space="preserve">Very Poor </w:t>
      </w:r>
      <w:r w:rsidR="00981DA7">
        <w:t>–</w:t>
      </w:r>
      <w:r>
        <w:t xml:space="preserve"> </w:t>
      </w:r>
      <w:r w:rsidR="00B64478">
        <w:t>0.4</w:t>
      </w:r>
      <w:r w:rsidR="00981DA7">
        <w:t>%</w:t>
      </w:r>
    </w:p>
    <w:p w14:paraId="4DB19BBD" w14:textId="55A048BE" w:rsidR="001214B4" w:rsidRPr="00A61A1D" w:rsidRDefault="00A61A1D" w:rsidP="00981DA7">
      <w:pPr>
        <w:pStyle w:val="BodyText"/>
        <w:rPr>
          <w:b/>
          <w:bCs/>
        </w:rPr>
      </w:pPr>
      <w:r w:rsidRPr="00A61A1D">
        <w:rPr>
          <w:b/>
          <w:bCs/>
        </w:rPr>
        <w:t>Climate</w:t>
      </w:r>
    </w:p>
    <w:p w14:paraId="011380DC" w14:textId="22BFE2B2" w:rsidR="00A61A1D" w:rsidRDefault="00A61A1D" w:rsidP="00A61A1D">
      <w:pPr>
        <w:pStyle w:val="ListBullet"/>
      </w:pPr>
      <w:r>
        <w:t>Change in rainfall</w:t>
      </w:r>
      <w:r w:rsidR="00072B92">
        <w:t xml:space="preserve"> – </w:t>
      </w:r>
      <w:r w:rsidR="00CC24B4">
        <w:t xml:space="preserve">by 2040, a </w:t>
      </w:r>
      <w:r w:rsidR="00072B92">
        <w:t xml:space="preserve">decrease by </w:t>
      </w:r>
      <w:r w:rsidR="00AE5417">
        <w:t>12.3</w:t>
      </w:r>
      <w:r w:rsidR="00072B92">
        <w:t>% with more intense rainfall</w:t>
      </w:r>
    </w:p>
    <w:p w14:paraId="51D6740B" w14:textId="33AC1C8A" w:rsidR="00072B92" w:rsidRDefault="00CC24B4" w:rsidP="00A61A1D">
      <w:pPr>
        <w:pStyle w:val="ListBullet"/>
      </w:pPr>
      <w:r>
        <w:t>Change in temperature – by 2040</w:t>
      </w:r>
      <w:r w:rsidR="002322F1">
        <w:t>, an increase of 0.</w:t>
      </w:r>
      <w:r w:rsidR="00AE5417">
        <w:t>7</w:t>
      </w:r>
      <w:r w:rsidR="002322F1">
        <w:t xml:space="preserve"> to 1.</w:t>
      </w:r>
      <w:r w:rsidR="00AE5417">
        <w:t>7</w:t>
      </w:r>
      <w:r w:rsidR="0098258E">
        <w:t xml:space="preserve"> degrees </w:t>
      </w:r>
      <w:r w:rsidR="00EC12A8">
        <w:t>Celsius</w:t>
      </w:r>
    </w:p>
    <w:p w14:paraId="271327FA" w14:textId="173E4E6C" w:rsidR="00054790" w:rsidRDefault="00566933" w:rsidP="004038DF">
      <w:pPr>
        <w:pStyle w:val="BodyText"/>
        <w:rPr>
          <w:lang w:eastAsia="en-AU"/>
        </w:rPr>
      </w:pPr>
      <w:r w:rsidRPr="00566933">
        <w:rPr>
          <w:noProof/>
        </w:rPr>
        <w:lastRenderedPageBreak/>
        <w:drawing>
          <wp:inline distT="0" distB="0" distL="0" distR="0" wp14:anchorId="3769FC42" wp14:editId="582E4544">
            <wp:extent cx="5571460" cy="7492306"/>
            <wp:effectExtent l="0" t="0" r="0" b="0"/>
            <wp:docPr id="25" name="Picture 25" descr="An infographic of the key climate, land use and populations statistics for the East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nfographic of the key climate, land use and populations statistics for the East Gippsland region."/>
                    <pic:cNvPicPr/>
                  </pic:nvPicPr>
                  <pic:blipFill>
                    <a:blip r:embed="rId45"/>
                    <a:stretch>
                      <a:fillRect/>
                    </a:stretch>
                  </pic:blipFill>
                  <pic:spPr>
                    <a:xfrm>
                      <a:off x="0" y="0"/>
                      <a:ext cx="5578491" cy="7501761"/>
                    </a:xfrm>
                    <a:prstGeom prst="rect">
                      <a:avLst/>
                    </a:prstGeom>
                  </pic:spPr>
                </pic:pic>
              </a:graphicData>
            </a:graphic>
          </wp:inline>
        </w:drawing>
      </w:r>
    </w:p>
    <w:p w14:paraId="30EB9538" w14:textId="23152340" w:rsidR="00054790" w:rsidRPr="004038DF" w:rsidRDefault="00054790" w:rsidP="00054790">
      <w:pPr>
        <w:pStyle w:val="CaptionImageorFigure"/>
      </w:pPr>
      <w:r>
        <w:t xml:space="preserve">Figure 5: </w:t>
      </w:r>
      <w:bookmarkStart w:id="39" w:name="_Hlk105664456"/>
      <w:r>
        <w:t>Key climate, land use and populations statistics for the</w:t>
      </w:r>
      <w:r w:rsidR="0005421D">
        <w:t xml:space="preserve"> East </w:t>
      </w:r>
      <w:r w:rsidR="009A11F7">
        <w:t xml:space="preserve">Gippsland </w:t>
      </w:r>
      <w:r>
        <w:t>region.</w:t>
      </w:r>
      <w:bookmarkEnd w:id="39"/>
    </w:p>
    <w:p w14:paraId="6F346D3E" w14:textId="0C982391" w:rsidR="00466394" w:rsidRDefault="00D74276" w:rsidP="00075421">
      <w:pPr>
        <w:pStyle w:val="Heading1TopofPage"/>
        <w:framePr w:wrap="around"/>
      </w:pPr>
      <w:bookmarkStart w:id="40" w:name="_Toc105599788"/>
      <w:bookmarkStart w:id="41" w:name="_Toc117694662"/>
      <w:r>
        <w:lastRenderedPageBreak/>
        <w:t xml:space="preserve">A </w:t>
      </w:r>
      <w:r w:rsidR="004F4E47">
        <w:t>c</w:t>
      </w:r>
      <w:r>
        <w:t xml:space="preserve">hanging </w:t>
      </w:r>
      <w:r w:rsidR="004F4E47">
        <w:t>r</w:t>
      </w:r>
      <w:r>
        <w:t>egion</w:t>
      </w:r>
      <w:bookmarkEnd w:id="40"/>
      <w:bookmarkEnd w:id="41"/>
    </w:p>
    <w:p w14:paraId="64DE0E65" w14:textId="29E48CF0" w:rsidR="00075421" w:rsidRDefault="003E3548" w:rsidP="00BF592F">
      <w:pPr>
        <w:pStyle w:val="IntroFeatureText"/>
      </w:pPr>
      <w:bookmarkStart w:id="42" w:name="_Hlk116393607"/>
      <w:r w:rsidRPr="003E3548">
        <w:t>The East Gippsland IWM Forum has been operating for nearly five years</w:t>
      </w:r>
      <w:bookmarkEnd w:id="42"/>
      <w:r w:rsidRPr="003E3548">
        <w:t xml:space="preserve">. It has experience on which to draw and projects upon which to build. </w:t>
      </w:r>
    </w:p>
    <w:p w14:paraId="45ABBA17" w14:textId="3AA73B0C" w:rsidR="007F76E7" w:rsidRDefault="007F76E7" w:rsidP="007F76E7">
      <w:pPr>
        <w:pStyle w:val="BodyText"/>
        <w:rPr>
          <w:lang w:eastAsia="en-AU"/>
        </w:rPr>
      </w:pPr>
      <w:r>
        <w:rPr>
          <w:lang w:eastAsia="en-AU"/>
        </w:rPr>
        <w:t xml:space="preserve">There have also been major disruptions, such as the coronavirus pandemic and natural disasters, including a drought in 2019 that resulted in the lowest stream flows on record, the Black Summer bushfires in 2019-20 that burnt more than one million hectares or 56 per cent of East Gippsland’s forested areas, and several flood events during 2021 and 2022. </w:t>
      </w:r>
    </w:p>
    <w:p w14:paraId="1AA3360A" w14:textId="5664BF52" w:rsidR="007F76E7" w:rsidRDefault="007F76E7" w:rsidP="007F76E7">
      <w:pPr>
        <w:pStyle w:val="BodyText"/>
        <w:rPr>
          <w:lang w:eastAsia="en-AU"/>
        </w:rPr>
      </w:pPr>
      <w:r>
        <w:rPr>
          <w:lang w:eastAsia="en-AU"/>
        </w:rPr>
        <w:t xml:space="preserve">In March 2021, the Victorian Government issued a licence to GLaWAC to take and use an allocation of two gigalitres of Mitchell River </w:t>
      </w:r>
      <w:proofErr w:type="spellStart"/>
      <w:r>
        <w:rPr>
          <w:lang w:eastAsia="en-AU"/>
        </w:rPr>
        <w:t>winterfill</w:t>
      </w:r>
      <w:proofErr w:type="spellEnd"/>
      <w:r>
        <w:rPr>
          <w:lang w:eastAsia="en-AU"/>
        </w:rPr>
        <w:t xml:space="preserve"> water on behalf of the Gunaikurnai people for economic, cultural, and other uses. In addition, the Aboriginal Access to Water Roadmap is currently being developed with Traditional Owners as part of the Victorian Government’s Aboriginal Water Program. The roadmap aims to identify access to water for economic development as well as for social, cultural, and spiritual outcomes. Forum members recognise the cultural and spiritual value of water to Traditional Owners and their self-determination and involvement in IWM. </w:t>
      </w:r>
    </w:p>
    <w:p w14:paraId="4FBFAFD9" w14:textId="0C5A3BE6" w:rsidR="007F76E7" w:rsidRDefault="007F76E7" w:rsidP="007F76E7">
      <w:pPr>
        <w:pStyle w:val="BodyText"/>
        <w:rPr>
          <w:lang w:eastAsia="en-AU"/>
        </w:rPr>
      </w:pPr>
      <w:r>
        <w:rPr>
          <w:lang w:eastAsia="en-AU"/>
        </w:rPr>
        <w:t xml:space="preserve">These past experiences and the need to accommodate current and future economic and population growth have highlighted climate change adaptation, community resilience and supporting the initiatives of First Nations people as priorities for the forum. As such, the forum’s work over the next few years focuses on key themes. </w:t>
      </w:r>
    </w:p>
    <w:p w14:paraId="2A75D434" w14:textId="01995339" w:rsidR="00C345FB" w:rsidRDefault="00C345FB" w:rsidP="00C345FB">
      <w:pPr>
        <w:pStyle w:val="Heading2"/>
      </w:pPr>
      <w:bookmarkStart w:id="43" w:name="_Toc117694663"/>
      <w:r>
        <w:t>Water for Tradition</w:t>
      </w:r>
      <w:r w:rsidR="002023B0">
        <w:t>al</w:t>
      </w:r>
      <w:r>
        <w:t xml:space="preserve"> Owners</w:t>
      </w:r>
      <w:bookmarkEnd w:id="43"/>
    </w:p>
    <w:p w14:paraId="40AE67CA" w14:textId="708C047A" w:rsidR="007B551D" w:rsidRDefault="007871B2" w:rsidP="00657E81">
      <w:pPr>
        <w:pStyle w:val="IntroFeatureText"/>
      </w:pPr>
      <w:r w:rsidRPr="007871B2">
        <w:t>Traditional Owners are taking an increasingly active and leading role in water management</w:t>
      </w:r>
      <w:r w:rsidR="00657E81">
        <w:t>.</w:t>
      </w:r>
    </w:p>
    <w:p w14:paraId="0988FAFA" w14:textId="63B5E55B" w:rsidR="00657E81" w:rsidRDefault="00657E81" w:rsidP="00657E81">
      <w:pPr>
        <w:pStyle w:val="BodyText"/>
      </w:pPr>
      <w:r>
        <w:t xml:space="preserve">There is growing recognition of the right to self-determination of Traditional Owners and First Nations peoples, and their inherent obligations to speak continually for and look after the Country of their ancestors for current and future generations. Traditional Owners in the East Gippsland region are increasingly active in leading, planning, delivering, and reporting on projects on Country. Forum members will play various roles in supporting Traditional Owner group initiatives, such as those that flow from the GLaWAC water allocation. </w:t>
      </w:r>
    </w:p>
    <w:p w14:paraId="0931282A" w14:textId="6710FF5E" w:rsidR="001C582A" w:rsidRDefault="00657E81" w:rsidP="00657E81">
      <w:pPr>
        <w:pStyle w:val="BodyText"/>
      </w:pPr>
      <w:r>
        <w:t>The project focused on the Water for Traditional Owners theme is: Supporting Aboriginal Water Values in East Gippsland.</w:t>
      </w:r>
    </w:p>
    <w:p w14:paraId="26C82D67" w14:textId="11926D26" w:rsidR="00DB5CCA" w:rsidRDefault="00DB5CCA" w:rsidP="002C14A6">
      <w:pPr>
        <w:pStyle w:val="BodyText"/>
        <w:rPr>
          <w:lang w:eastAsia="en-AU"/>
        </w:rPr>
      </w:pPr>
    </w:p>
    <w:p w14:paraId="1754AE85" w14:textId="4BE6A65D" w:rsidR="005F38C8" w:rsidRDefault="006E5BC9" w:rsidP="005F38C8">
      <w:pPr>
        <w:pStyle w:val="Heading2"/>
      </w:pPr>
      <w:bookmarkStart w:id="44" w:name="_Toc105599789"/>
      <w:bookmarkStart w:id="45" w:name="_Toc117694664"/>
      <w:r>
        <w:lastRenderedPageBreak/>
        <w:t>Improving water management in our townships</w:t>
      </w:r>
      <w:bookmarkEnd w:id="44"/>
      <w:bookmarkEnd w:id="45"/>
    </w:p>
    <w:p w14:paraId="083B73DD" w14:textId="41BA767D" w:rsidR="00C07BE0" w:rsidRDefault="00674EDE" w:rsidP="00674EDE">
      <w:pPr>
        <w:pStyle w:val="IntroFeatureText"/>
      </w:pPr>
      <w:r w:rsidRPr="00674EDE">
        <w:t>Sustainable population growth and climate change adaptation are priorities. This requires water-sensitive planning, building and rebuilding, and preparation for future natural disasters and extreme events. Growth in a water-constrained future requires more diverse water sources and better use of existing resources.</w:t>
      </w:r>
    </w:p>
    <w:p w14:paraId="14A4D032" w14:textId="39096B26" w:rsidR="00674EDE" w:rsidRDefault="00674EDE" w:rsidP="00674EDE">
      <w:pPr>
        <w:pStyle w:val="BodyText"/>
        <w:rPr>
          <w:lang w:eastAsia="en-AU"/>
        </w:rPr>
      </w:pPr>
      <w:r>
        <w:rPr>
          <w:lang w:eastAsia="en-AU"/>
        </w:rPr>
        <w:t xml:space="preserve">East Gippsland is already experiencing the consequences of climate change. Mallacoota’s residents and visitors woke up on New Year’s Eve 2019 to the fact they were surrounded by fire. Photographs of thousands of people huddled on the foreshore under red skies made news around the world. Mallacoota was one of many communities across the region severely affected by the bushfires. </w:t>
      </w:r>
    </w:p>
    <w:p w14:paraId="0495D84C" w14:textId="009A0C9B" w:rsidR="00674EDE" w:rsidRDefault="00674EDE" w:rsidP="00674EDE">
      <w:pPr>
        <w:pStyle w:val="BodyText"/>
        <w:rPr>
          <w:lang w:eastAsia="en-AU"/>
        </w:rPr>
      </w:pPr>
      <w:r>
        <w:rPr>
          <w:lang w:eastAsia="en-AU"/>
        </w:rPr>
        <w:t xml:space="preserve">2019 was the region’s driest year on record and followed three years of drought. This recent and visceral experience of bushfires has heightened awareness of the need for water security for firefighting, especially during prolonged drought. In addition to increased fire risk, the region is predicted to experience more frequent and intense extreme weather events, including storms, high winds, broad regional flooding, and localised flash flooding. 2021 was the wettest year on record for Bairnsdale. Other impacts of these extremes include algal blooms, fish kills, coastal and waterway erosion, and disruption to industry. The trend generally is for hotter, drier conditions and more frequent extreme events. This is ‘the new normal’. </w:t>
      </w:r>
    </w:p>
    <w:p w14:paraId="66B8436A" w14:textId="2AA1C700" w:rsidR="00674EDE" w:rsidRDefault="00674EDE" w:rsidP="00674EDE">
      <w:pPr>
        <w:pStyle w:val="BodyText"/>
        <w:rPr>
          <w:lang w:eastAsia="en-AU"/>
        </w:rPr>
      </w:pPr>
      <w:r>
        <w:rPr>
          <w:lang w:eastAsia="en-AU"/>
        </w:rPr>
        <w:t xml:space="preserve">These challenges and approaches to addressing them are part of the East Gippsland Regional Catchment Strategy, the Central and Gippsland Region SWS, and local government climate change adaptation plans. IWM will assist in monitoring and adapting to climate change as a shared responsibility. </w:t>
      </w:r>
    </w:p>
    <w:p w14:paraId="45FF2900" w14:textId="77777777" w:rsidR="00674EDE" w:rsidRDefault="00674EDE" w:rsidP="00674EDE">
      <w:pPr>
        <w:pStyle w:val="BodyText"/>
        <w:rPr>
          <w:lang w:eastAsia="en-AU"/>
        </w:rPr>
      </w:pPr>
      <w:r w:rsidRPr="00934F3B">
        <w:rPr>
          <w:i/>
          <w:iCs/>
          <w:lang w:eastAsia="en-AU"/>
        </w:rPr>
        <w:t>Victoria in Future</w:t>
      </w:r>
      <w:r>
        <w:rPr>
          <w:lang w:eastAsia="en-AU"/>
        </w:rPr>
        <w:t xml:space="preserve"> (2019) predicted an average regional population growth of one and a half per cent annually from 2018 to 2036. </w:t>
      </w:r>
    </w:p>
    <w:p w14:paraId="52C7AEF0" w14:textId="3EA97EE7" w:rsidR="00674EDE" w:rsidRDefault="00674EDE" w:rsidP="00674EDE">
      <w:pPr>
        <w:pStyle w:val="BodyText"/>
        <w:rPr>
          <w:lang w:eastAsia="en-AU"/>
        </w:rPr>
      </w:pPr>
      <w:r>
        <w:rPr>
          <w:lang w:eastAsia="en-AU"/>
        </w:rPr>
        <w:t xml:space="preserve">The first two years of this period saw growth exceed these expectations. More recently, the coronavirus pandemic saw a substantial increase in the number of people migrating from Melbourne to Victoria’s regional areas and closed international borders have resulted in a domestic tourism boom. </w:t>
      </w:r>
    </w:p>
    <w:p w14:paraId="0F12BE1C" w14:textId="77777777" w:rsidR="001D0330" w:rsidRDefault="00674EDE" w:rsidP="00674EDE">
      <w:pPr>
        <w:pStyle w:val="BodyText"/>
        <w:rPr>
          <w:lang w:eastAsia="en-AU"/>
        </w:rPr>
      </w:pPr>
      <w:r>
        <w:rPr>
          <w:lang w:eastAsia="en-AU"/>
        </w:rPr>
        <w:t xml:space="preserve">Visitors and permanent residents alike need drinking water supplies and wastewater management, and water-supported community assets, such as parks and gardens. New growth areas and several fire-impacted small communities present an opportunity to build or rebuild precincts that are greener, more water-efficient, resilient, and liveable. </w:t>
      </w:r>
    </w:p>
    <w:p w14:paraId="790771A1" w14:textId="29698846" w:rsidR="00674EDE" w:rsidRDefault="00674EDE" w:rsidP="00674EDE">
      <w:pPr>
        <w:pStyle w:val="BodyText"/>
        <w:rPr>
          <w:lang w:eastAsia="en-AU"/>
        </w:rPr>
      </w:pPr>
      <w:r>
        <w:rPr>
          <w:lang w:eastAsia="en-AU"/>
        </w:rPr>
        <w:lastRenderedPageBreak/>
        <w:t xml:space="preserve">There is an opportunity to make better use of water resources and the water cycle, considering both water quality and quantity, and to direct water that’s fit-for-purpose to where it’s needed. This involves exploring opportunities to recharge aquifers or substitute potable water with captured stormwater or treated recycled water where drinking quality is not required. It also involves seeing discharges and wastewater as an opportunity to increase water in the environment and improve liveability, rather than a problem to solve. </w:t>
      </w:r>
    </w:p>
    <w:p w14:paraId="2D9F32B6" w14:textId="090F0A45" w:rsidR="00674EDE" w:rsidRDefault="00674EDE" w:rsidP="00674EDE">
      <w:pPr>
        <w:pStyle w:val="BodyText"/>
        <w:rPr>
          <w:lang w:eastAsia="en-AU"/>
        </w:rPr>
      </w:pPr>
      <w:r>
        <w:rPr>
          <w:lang w:eastAsia="en-AU"/>
        </w:rPr>
        <w:t>Projects focus</w:t>
      </w:r>
      <w:r w:rsidR="00903D01">
        <w:rPr>
          <w:lang w:eastAsia="en-AU"/>
        </w:rPr>
        <w:t>ed</w:t>
      </w:r>
      <w:r>
        <w:rPr>
          <w:lang w:eastAsia="en-AU"/>
        </w:rPr>
        <w:t xml:space="preserve"> on improving water management in our townships include: </w:t>
      </w:r>
    </w:p>
    <w:p w14:paraId="431DA187" w14:textId="77777777" w:rsidR="00477049" w:rsidRDefault="00674EDE" w:rsidP="00674EDE">
      <w:pPr>
        <w:pStyle w:val="BodyText"/>
        <w:numPr>
          <w:ilvl w:val="0"/>
          <w:numId w:val="22"/>
        </w:numPr>
        <w:rPr>
          <w:lang w:eastAsia="en-AU"/>
        </w:rPr>
      </w:pPr>
      <w:r>
        <w:rPr>
          <w:lang w:eastAsia="en-AU"/>
        </w:rPr>
        <w:t xml:space="preserve">Supporting Communities to Achieve Their Objectives Around Water </w:t>
      </w:r>
    </w:p>
    <w:p w14:paraId="1A7330D9" w14:textId="77777777" w:rsidR="00477049" w:rsidRDefault="00674EDE" w:rsidP="00674EDE">
      <w:pPr>
        <w:pStyle w:val="BodyText"/>
        <w:numPr>
          <w:ilvl w:val="0"/>
          <w:numId w:val="22"/>
        </w:numPr>
        <w:rPr>
          <w:lang w:eastAsia="en-AU"/>
        </w:rPr>
      </w:pPr>
      <w:r>
        <w:rPr>
          <w:lang w:eastAsia="en-AU"/>
        </w:rPr>
        <w:t xml:space="preserve">Bairnsdale IWM Plan Implementation </w:t>
      </w:r>
    </w:p>
    <w:p w14:paraId="18977FD1" w14:textId="77777777" w:rsidR="00477049" w:rsidRDefault="00674EDE" w:rsidP="00674EDE">
      <w:pPr>
        <w:pStyle w:val="BodyText"/>
        <w:numPr>
          <w:ilvl w:val="0"/>
          <w:numId w:val="22"/>
        </w:numPr>
        <w:rPr>
          <w:lang w:eastAsia="en-AU"/>
        </w:rPr>
      </w:pPr>
      <w:r>
        <w:rPr>
          <w:lang w:eastAsia="en-AU"/>
        </w:rPr>
        <w:t xml:space="preserve">Stormwater Management Plan </w:t>
      </w:r>
    </w:p>
    <w:p w14:paraId="1F4F09B5" w14:textId="52A17F25" w:rsidR="00674EDE" w:rsidRPr="00674EDE" w:rsidRDefault="00674EDE" w:rsidP="00674EDE">
      <w:pPr>
        <w:pStyle w:val="BodyText"/>
        <w:numPr>
          <w:ilvl w:val="0"/>
          <w:numId w:val="22"/>
        </w:numPr>
        <w:rPr>
          <w:lang w:eastAsia="en-AU"/>
        </w:rPr>
      </w:pPr>
      <w:r>
        <w:rPr>
          <w:lang w:eastAsia="en-AU"/>
        </w:rPr>
        <w:t>Recycled Water Management Plan (Bairnsdale and Lakes Entrance).</w:t>
      </w:r>
    </w:p>
    <w:p w14:paraId="16FCAAC6" w14:textId="7650F3B2" w:rsidR="008F0236" w:rsidRDefault="00477049" w:rsidP="00D37C02">
      <w:pPr>
        <w:pStyle w:val="Heading2"/>
      </w:pPr>
      <w:bookmarkStart w:id="46" w:name="_Toc105599791"/>
      <w:bookmarkStart w:id="47" w:name="_Toc117694665"/>
      <w:r>
        <w:t xml:space="preserve">Improving </w:t>
      </w:r>
      <w:r w:rsidR="004F4E47">
        <w:t>w</w:t>
      </w:r>
      <w:r>
        <w:t>aterway health</w:t>
      </w:r>
      <w:bookmarkEnd w:id="46"/>
      <w:bookmarkEnd w:id="47"/>
    </w:p>
    <w:p w14:paraId="19D4349F" w14:textId="0CDED576" w:rsidR="00477049" w:rsidRDefault="00820B45" w:rsidP="00820B45">
      <w:pPr>
        <w:pStyle w:val="IntroFeatureText"/>
      </w:pPr>
      <w:r w:rsidRPr="00820B45">
        <w:t>East Gippsland’s natural environment and unique waterways need to be protected for future generations.</w:t>
      </w:r>
    </w:p>
    <w:p w14:paraId="54088A14" w14:textId="53ADFA97" w:rsidR="00820B45" w:rsidRDefault="00820B45" w:rsidP="00820B45">
      <w:pPr>
        <w:pStyle w:val="BodyText"/>
        <w:rPr>
          <w:lang w:eastAsia="en-AU"/>
        </w:rPr>
      </w:pPr>
      <w:r>
        <w:rPr>
          <w:lang w:eastAsia="en-AU"/>
        </w:rPr>
        <w:t xml:space="preserve">East Gippsland’s lakes, waterways, coasts, and surrounding catchments - which include nine national parks and 300 reserves managed by Parks Victoria - are part of the unique character of the region. They are vitally important to the natural environment and wildlife of the region and the local tourism sector, which supports jobs and economic growth. Managing the flows into Ramsar listed wetlands—sites designated as internationally important for conserving biological diversity—is a particularly high priority. </w:t>
      </w:r>
    </w:p>
    <w:p w14:paraId="0B2B8F21" w14:textId="5B2FCCE2" w:rsidR="00820B45" w:rsidRDefault="00820B45" w:rsidP="00820B45">
      <w:pPr>
        <w:pStyle w:val="BodyText"/>
        <w:rPr>
          <w:lang w:eastAsia="en-AU"/>
        </w:rPr>
      </w:pPr>
      <w:r>
        <w:rPr>
          <w:lang w:eastAsia="en-AU"/>
        </w:rPr>
        <w:t xml:space="preserve">While flooding is an important part of the natural function of some ecosystems, extreme storms and rainfall pose problems. For example, severe storms increase the debris load in waterways, affecting water quality and nutrient load, and some coastal ecosystems can experience too much freshwater, affecting the delicate balance needed by sensitive plants, dolphins, and other species in those environments. There is an opportunity to manage the risks of flooding and drainage in an innovative way, and a need to repair degraded environments and to heal Country. </w:t>
      </w:r>
    </w:p>
    <w:p w14:paraId="211E8941" w14:textId="77777777" w:rsidR="00820B45" w:rsidRDefault="00820B45" w:rsidP="00820B45">
      <w:pPr>
        <w:pStyle w:val="BodyText"/>
        <w:rPr>
          <w:lang w:eastAsia="en-AU"/>
        </w:rPr>
      </w:pPr>
      <w:r>
        <w:rPr>
          <w:lang w:eastAsia="en-AU"/>
        </w:rPr>
        <w:t xml:space="preserve">Projects focused in improving waterway health include: </w:t>
      </w:r>
    </w:p>
    <w:p w14:paraId="4DB84F56" w14:textId="77777777" w:rsidR="00820B45" w:rsidRDefault="00820B45" w:rsidP="00820B45">
      <w:pPr>
        <w:pStyle w:val="BodyText"/>
        <w:numPr>
          <w:ilvl w:val="0"/>
          <w:numId w:val="23"/>
        </w:numPr>
        <w:rPr>
          <w:lang w:eastAsia="en-AU"/>
        </w:rPr>
      </w:pPr>
      <w:r>
        <w:rPr>
          <w:lang w:eastAsia="en-AU"/>
        </w:rPr>
        <w:t xml:space="preserve">Lakes Entrance IWM Plan </w:t>
      </w:r>
    </w:p>
    <w:p w14:paraId="54B8A43C" w14:textId="77777777" w:rsidR="00820B45" w:rsidRDefault="00820B45" w:rsidP="008B7176">
      <w:pPr>
        <w:pStyle w:val="BodyText"/>
        <w:numPr>
          <w:ilvl w:val="0"/>
          <w:numId w:val="23"/>
        </w:numPr>
        <w:rPr>
          <w:lang w:eastAsia="en-AU"/>
        </w:rPr>
      </w:pPr>
      <w:r>
        <w:rPr>
          <w:lang w:eastAsia="en-AU"/>
        </w:rPr>
        <w:t xml:space="preserve">Crooke Street Wetlands </w:t>
      </w:r>
    </w:p>
    <w:p w14:paraId="38E31750" w14:textId="60165B47" w:rsidR="00820B45" w:rsidRDefault="00820B45" w:rsidP="008B7176">
      <w:pPr>
        <w:pStyle w:val="BodyText"/>
        <w:numPr>
          <w:ilvl w:val="0"/>
          <w:numId w:val="23"/>
        </w:numPr>
        <w:rPr>
          <w:lang w:eastAsia="en-AU"/>
        </w:rPr>
      </w:pPr>
      <w:r>
        <w:rPr>
          <w:lang w:eastAsia="en-AU"/>
        </w:rPr>
        <w:t>Improving the Health of Waterways Flowing into the Gippsland Lakes and the Tambo, Nicholson, and Mitchell Rivers.</w:t>
      </w:r>
    </w:p>
    <w:p w14:paraId="3B2CFCDC" w14:textId="296D176A" w:rsidR="00146B54" w:rsidRDefault="00146B54" w:rsidP="00146B54">
      <w:pPr>
        <w:pStyle w:val="BodyText"/>
        <w:rPr>
          <w:lang w:eastAsia="en-AU"/>
        </w:rPr>
      </w:pPr>
      <w:r>
        <w:rPr>
          <w:lang w:eastAsia="en-AU"/>
        </w:rPr>
        <w:lastRenderedPageBreak/>
        <w:t xml:space="preserve">This SDS highlights the key challenges in the region and identifies collaborative IWM opportunities that can address climate change and other key drivers to improve resilience and liveability in cities and towns in the region. </w:t>
      </w:r>
    </w:p>
    <w:p w14:paraId="7489BDAB" w14:textId="34278A0A" w:rsidR="00146B54" w:rsidRDefault="00146B54" w:rsidP="00146B54">
      <w:pPr>
        <w:pStyle w:val="BodyText"/>
        <w:rPr>
          <w:lang w:eastAsia="en-AU"/>
        </w:rPr>
      </w:pPr>
      <w:r>
        <w:rPr>
          <w:lang w:eastAsia="en-AU"/>
        </w:rPr>
        <w:t xml:space="preserve">The scope of the East Gippsland IWM Forum is confined to collaborative water management within our regional communities including their peri-urban boundaries. The focus is on the urban water cycle consisting of natural and constructed assets including waterways, groundwater, water supply, sewerage systems and stormwater. </w:t>
      </w:r>
    </w:p>
    <w:p w14:paraId="633E499F" w14:textId="77777777" w:rsidR="00146B54" w:rsidRDefault="00146B54" w:rsidP="00146B54">
      <w:pPr>
        <w:pStyle w:val="BodyText"/>
        <w:rPr>
          <w:lang w:eastAsia="en-AU"/>
        </w:rPr>
      </w:pPr>
      <w:r>
        <w:rPr>
          <w:lang w:eastAsia="en-AU"/>
        </w:rPr>
        <w:t xml:space="preserve">Although the scope includes the impact of urban communities on connected environmental assets such as rivers, wetlands and the Gippsland Lakes, it excludes the management of those </w:t>
      </w:r>
      <w:proofErr w:type="gramStart"/>
      <w:r>
        <w:rPr>
          <w:lang w:eastAsia="en-AU"/>
        </w:rPr>
        <w:t>assets in their own right</w:t>
      </w:r>
      <w:proofErr w:type="gramEnd"/>
      <w:r>
        <w:rPr>
          <w:lang w:eastAsia="en-AU"/>
        </w:rPr>
        <w:t xml:space="preserve">. The management of such assets is comprehensively covered by separate processes, such as the Gippsland Lakes Projects managed by the Gippsland Lakes Co-ordinating Committee. The IWM forum, however, will co-ordinate activities with other overlapping processes and management bodies. </w:t>
      </w:r>
    </w:p>
    <w:p w14:paraId="679B4661" w14:textId="77777777" w:rsidR="00146B54" w:rsidRDefault="00146B54" w:rsidP="00146B54">
      <w:pPr>
        <w:pStyle w:val="BodyText"/>
        <w:rPr>
          <w:lang w:eastAsia="en-AU"/>
        </w:rPr>
      </w:pPr>
    </w:p>
    <w:p w14:paraId="2ED41FAF" w14:textId="77777777" w:rsidR="00146B54" w:rsidRPr="00820B45" w:rsidRDefault="00146B54" w:rsidP="00146B54">
      <w:pPr>
        <w:pStyle w:val="BodyText"/>
        <w:rPr>
          <w:lang w:eastAsia="en-AU"/>
        </w:rPr>
      </w:pPr>
    </w:p>
    <w:p w14:paraId="602504B8" w14:textId="425BA132" w:rsidR="00C4688E" w:rsidRDefault="00CD1A59" w:rsidP="00C4688E">
      <w:pPr>
        <w:pStyle w:val="Heading1TopofPage"/>
        <w:framePr w:wrap="around"/>
      </w:pPr>
      <w:bookmarkStart w:id="48" w:name="_Toc105599793"/>
      <w:bookmarkStart w:id="49" w:name="_Toc117694666"/>
      <w:r>
        <w:lastRenderedPageBreak/>
        <w:t>Progress to date</w:t>
      </w:r>
      <w:bookmarkEnd w:id="48"/>
      <w:bookmarkEnd w:id="49"/>
    </w:p>
    <w:p w14:paraId="255002B0" w14:textId="7124E8FE" w:rsidR="003E2990" w:rsidRDefault="00AE0BC3" w:rsidP="00AE0BC3">
      <w:pPr>
        <w:pStyle w:val="IntroFeatureText"/>
      </w:pPr>
      <w:r w:rsidRPr="00AE0BC3">
        <w:t xml:space="preserve">The first East Gippsland IWM Forum SDS was published in September 2018. It articulated the regional context, shared vision and strategic water-related objectives for the region. It also listed IWM opportunities as ‘ready to advance’ projects developed in collaboration by the forum partners. This SDS can be viewed online at </w:t>
      </w:r>
      <w:hyperlink r:id="rId46" w:history="1">
        <w:r w:rsidRPr="008B407B">
          <w:rPr>
            <w:rStyle w:val="Hyperlink"/>
          </w:rPr>
          <w:t>www.water.vic.gov.au</w:t>
        </w:r>
      </w:hyperlink>
    </w:p>
    <w:p w14:paraId="7C1D3D2C" w14:textId="1A82FFFE" w:rsidR="009B0BD2" w:rsidRDefault="009B0BD2" w:rsidP="009B0BD2">
      <w:pPr>
        <w:pStyle w:val="BodyText"/>
        <w:rPr>
          <w:lang w:eastAsia="en-AU"/>
        </w:rPr>
      </w:pPr>
      <w:r>
        <w:rPr>
          <w:lang w:eastAsia="en-AU"/>
        </w:rPr>
        <w:t xml:space="preserve">The shared experience of the forum’s work has led to a deeper understanding of IWM and developed and strengthened relationships within the region. These established relationships enabled people to work together quickly to respond to the Black Summer bushfires of 2019-20. </w:t>
      </w:r>
    </w:p>
    <w:p w14:paraId="653EC614" w14:textId="2BA80D6C" w:rsidR="009B0BD2" w:rsidRDefault="009B0BD2" w:rsidP="009B0BD2">
      <w:pPr>
        <w:pStyle w:val="BodyText"/>
        <w:rPr>
          <w:lang w:eastAsia="en-AU"/>
        </w:rPr>
      </w:pPr>
      <w:r>
        <w:rPr>
          <w:lang w:eastAsia="en-AU"/>
        </w:rPr>
        <w:t xml:space="preserve">The forum members have IWM at the forefront of their thinking and several are implementing IWM projects independently. The projects – past, current and future – listed in this SDS and endorsed by the forum members are those that benefit from a collaborative, multi-party approach. </w:t>
      </w:r>
    </w:p>
    <w:p w14:paraId="5B913C31" w14:textId="236B3AB7" w:rsidR="009B0BD2" w:rsidRDefault="009B0BD2" w:rsidP="009B0BD2">
      <w:pPr>
        <w:pStyle w:val="BodyText"/>
        <w:rPr>
          <w:lang w:eastAsia="en-AU"/>
        </w:rPr>
      </w:pPr>
      <w:r>
        <w:rPr>
          <w:lang w:eastAsia="en-AU"/>
        </w:rPr>
        <w:t xml:space="preserve">Our first SDS identified 10 projects that reflect the East Gippsland IWM Forum’s initial priorities and opportunities. Many of these projects are underway or have been completed. The ‘Bairnsdale IWM Plan’ project has been completed and is now being implemented. You can read more about this project, '"Bairnsdale IWM Plan Implementation" on page 27. Seven projects are underway. In particular, the framework and tools developed as part of the ‘Supporting Aboriginal Water Values in East Gippsland’ project are now informing Traditional Owner considerations in other IWM projects both in the East Gippsland and the Gippsland IWM Forum regions. </w:t>
      </w:r>
    </w:p>
    <w:p w14:paraId="5795FA64" w14:textId="0F04CFE5" w:rsidR="009B0BD2" w:rsidRDefault="009B0BD2" w:rsidP="009B0BD2">
      <w:pPr>
        <w:pStyle w:val="BodyText"/>
        <w:rPr>
          <w:lang w:eastAsia="en-AU"/>
        </w:rPr>
      </w:pPr>
      <w:r>
        <w:rPr>
          <w:lang w:eastAsia="en-AU"/>
        </w:rPr>
        <w:t xml:space="preserve">The East Gippsland IWM Forum is flexible and responsive to the changing needs and priorities of local governments and other members. Two projects were delayed as forum members dealt with natural disasters, greater than expected population growth and the impacts of the coronavirus pandemic. </w:t>
      </w:r>
    </w:p>
    <w:p w14:paraId="2D99A3DA" w14:textId="77777777" w:rsidR="00557073" w:rsidRDefault="009B0BD2" w:rsidP="009B0BD2">
      <w:pPr>
        <w:pStyle w:val="BodyText"/>
        <w:rPr>
          <w:lang w:eastAsia="en-AU"/>
        </w:rPr>
      </w:pPr>
      <w:r>
        <w:rPr>
          <w:lang w:eastAsia="en-AU"/>
        </w:rPr>
        <w:t>Progress on the 2018 SDS projects is summarised in Table 1, with brief notes on their outcomes and how they inform the current and future opportunities detailed in this refreshed SDS.</w:t>
      </w:r>
    </w:p>
    <w:p w14:paraId="32D8804D" w14:textId="141DB9EF" w:rsidR="00F00419" w:rsidRPr="00F00419" w:rsidRDefault="00F00419" w:rsidP="00F00419">
      <w:pPr>
        <w:pStyle w:val="Caption"/>
        <w:rPr>
          <w:sz w:val="22"/>
          <w:szCs w:val="22"/>
        </w:rPr>
      </w:pPr>
      <w:r>
        <w:rPr>
          <w:sz w:val="22"/>
          <w:szCs w:val="22"/>
        </w:rPr>
        <w:t>Table</w:t>
      </w:r>
      <w:r w:rsidRPr="00F00419">
        <w:rPr>
          <w:sz w:val="22"/>
          <w:szCs w:val="22"/>
        </w:rPr>
        <w:t xml:space="preserve"> </w:t>
      </w:r>
      <w:r w:rsidR="00FB67CA">
        <w:rPr>
          <w:sz w:val="22"/>
          <w:szCs w:val="22"/>
        </w:rPr>
        <w:t>1</w:t>
      </w:r>
      <w:r>
        <w:rPr>
          <w:sz w:val="22"/>
          <w:szCs w:val="22"/>
        </w:rPr>
        <w:t xml:space="preserve">: </w:t>
      </w:r>
      <w:r w:rsidR="009E65BF">
        <w:rPr>
          <w:sz w:val="22"/>
          <w:szCs w:val="22"/>
        </w:rPr>
        <w:t>A summary of the status of the 2018 SDS IWM opportunities</w:t>
      </w:r>
    </w:p>
    <w:tbl>
      <w:tblPr>
        <w:tblStyle w:val="TableGrid"/>
        <w:tblW w:w="9619" w:type="dxa"/>
        <w:tblLook w:val="04A0" w:firstRow="1" w:lastRow="0" w:firstColumn="1" w:lastColumn="0" w:noHBand="0" w:noVBand="1"/>
      </w:tblPr>
      <w:tblGrid>
        <w:gridCol w:w="2817"/>
        <w:gridCol w:w="1784"/>
        <w:gridCol w:w="5018"/>
      </w:tblGrid>
      <w:tr w:rsidR="007E04BE" w:rsidRPr="0037205E" w14:paraId="4B2B940C" w14:textId="77777777" w:rsidTr="002721F3">
        <w:trPr>
          <w:cnfStyle w:val="100000000000" w:firstRow="1" w:lastRow="0" w:firstColumn="0" w:lastColumn="0" w:oddVBand="0" w:evenVBand="0" w:oddHBand="0" w:evenHBand="0" w:firstRowFirstColumn="0" w:firstRowLastColumn="0" w:lastRowFirstColumn="0" w:lastRowLastColumn="0"/>
          <w:trHeight w:val="435"/>
        </w:trPr>
        <w:tc>
          <w:tcPr>
            <w:cnfStyle w:val="000000000100" w:firstRow="0" w:lastRow="0" w:firstColumn="0" w:lastColumn="0" w:oddVBand="0" w:evenVBand="0" w:oddHBand="0" w:evenHBand="0" w:firstRowFirstColumn="1" w:firstRowLastColumn="0" w:lastRowFirstColumn="0" w:lastRowLastColumn="0"/>
            <w:tcW w:w="2825" w:type="dxa"/>
            <w:hideMark/>
          </w:tcPr>
          <w:p w14:paraId="6B355A38" w14:textId="77777777" w:rsidR="0037205E" w:rsidRPr="0037205E" w:rsidRDefault="0037205E" w:rsidP="0037205E">
            <w:pPr>
              <w:spacing w:after="0" w:line="240" w:lineRule="auto"/>
              <w:ind w:left="75"/>
              <w:textAlignment w:val="baseline"/>
              <w:rPr>
                <w:rFonts w:ascii="Segoe UI" w:hAnsi="Segoe UI" w:cs="Segoe UI"/>
                <w:color w:val="auto"/>
                <w:sz w:val="24"/>
              </w:rPr>
            </w:pPr>
            <w:r w:rsidRPr="0037205E">
              <w:rPr>
                <w:rFonts w:ascii="Arial" w:hAnsi="Arial"/>
                <w:b/>
                <w:bCs/>
                <w:color w:val="FFFFFF"/>
                <w:sz w:val="24"/>
                <w:lang w:val="en-US"/>
              </w:rPr>
              <w:t>IWM opportunity</w:t>
            </w:r>
            <w:r w:rsidRPr="0037205E">
              <w:rPr>
                <w:rFonts w:ascii="Arial" w:hAnsi="Arial"/>
                <w:color w:val="FFFFFF"/>
                <w:sz w:val="24"/>
              </w:rPr>
              <w:t> </w:t>
            </w:r>
          </w:p>
        </w:tc>
        <w:tc>
          <w:tcPr>
            <w:tcW w:w="1701" w:type="dxa"/>
            <w:hideMark/>
          </w:tcPr>
          <w:p w14:paraId="78D30C0E" w14:textId="77777777" w:rsidR="0037205E" w:rsidRPr="0037205E" w:rsidRDefault="0037205E" w:rsidP="0037205E">
            <w:pPr>
              <w:spacing w:after="0" w:line="240" w:lineRule="auto"/>
              <w:ind w:left="75"/>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4"/>
              </w:rPr>
            </w:pPr>
            <w:r w:rsidRPr="0037205E">
              <w:rPr>
                <w:rFonts w:ascii="Arial" w:hAnsi="Arial"/>
                <w:b/>
                <w:bCs/>
                <w:color w:val="FFFFFF"/>
                <w:sz w:val="24"/>
                <w:lang w:val="en-US"/>
              </w:rPr>
              <w:t>Status</w:t>
            </w:r>
            <w:r w:rsidRPr="0037205E">
              <w:rPr>
                <w:rFonts w:ascii="Arial" w:hAnsi="Arial"/>
                <w:color w:val="FFFFFF"/>
                <w:sz w:val="24"/>
              </w:rPr>
              <w:t> </w:t>
            </w:r>
          </w:p>
        </w:tc>
        <w:tc>
          <w:tcPr>
            <w:tcW w:w="5093" w:type="dxa"/>
            <w:hideMark/>
          </w:tcPr>
          <w:p w14:paraId="53825CB6" w14:textId="77777777" w:rsidR="0037205E" w:rsidRPr="0037205E" w:rsidRDefault="0037205E" w:rsidP="0037205E">
            <w:pPr>
              <w:spacing w:after="0" w:line="240" w:lineRule="auto"/>
              <w:ind w:left="75"/>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4"/>
              </w:rPr>
            </w:pPr>
            <w:r w:rsidRPr="0037205E">
              <w:rPr>
                <w:rFonts w:ascii="Arial" w:hAnsi="Arial"/>
                <w:b/>
                <w:bCs/>
                <w:color w:val="FFFFFF"/>
                <w:sz w:val="24"/>
                <w:lang w:val="en-US"/>
              </w:rPr>
              <w:t>Notes</w:t>
            </w:r>
            <w:r w:rsidRPr="0037205E">
              <w:rPr>
                <w:rFonts w:ascii="Arial" w:hAnsi="Arial"/>
                <w:color w:val="FFFFFF"/>
                <w:sz w:val="24"/>
              </w:rPr>
              <w:t> </w:t>
            </w:r>
          </w:p>
        </w:tc>
      </w:tr>
      <w:tr w:rsidR="002721F3" w:rsidRPr="0037205E" w14:paraId="412C0092" w14:textId="77777777" w:rsidTr="002721F3">
        <w:trPr>
          <w:trHeight w:val="780"/>
        </w:trPr>
        <w:tc>
          <w:tcPr>
            <w:tcW w:w="2825" w:type="dxa"/>
            <w:hideMark/>
          </w:tcPr>
          <w:p w14:paraId="61DB79B5"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b/>
                <w:bCs/>
                <w:color w:val="4C4D4F"/>
                <w:lang w:val="en-US"/>
              </w:rPr>
              <w:t>Bairnsdale IWM Plan</w:t>
            </w:r>
            <w:r w:rsidRPr="0037205E">
              <w:rPr>
                <w:rFonts w:ascii="Arial" w:hAnsi="Arial"/>
                <w:color w:val="4C4D4F"/>
              </w:rPr>
              <w:t> </w:t>
            </w:r>
          </w:p>
        </w:tc>
        <w:tc>
          <w:tcPr>
            <w:tcW w:w="1701" w:type="dxa"/>
            <w:hideMark/>
          </w:tcPr>
          <w:p w14:paraId="3BD8FD6E"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Complete</w:t>
            </w:r>
            <w:r w:rsidRPr="0037205E">
              <w:rPr>
                <w:rFonts w:ascii="Arial" w:hAnsi="Arial"/>
                <w:color w:val="4C4D4F"/>
              </w:rPr>
              <w:t> </w:t>
            </w:r>
          </w:p>
        </w:tc>
        <w:tc>
          <w:tcPr>
            <w:tcW w:w="5093" w:type="dxa"/>
            <w:hideMark/>
          </w:tcPr>
          <w:p w14:paraId="0E7F354A" w14:textId="34A76014"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Implementation of identified opportunities included in this updated SDS. S</w:t>
            </w:r>
            <w:r w:rsidRPr="00FB67CA">
              <w:rPr>
                <w:rFonts w:ascii="Arial" w:hAnsi="Arial"/>
                <w:color w:val="4C4D4F"/>
                <w:lang w:val="en-US"/>
              </w:rPr>
              <w:t xml:space="preserve">ee page </w:t>
            </w:r>
            <w:r w:rsidR="00511838">
              <w:rPr>
                <w:rFonts w:ascii="Arial" w:hAnsi="Arial"/>
                <w:color w:val="4C4D4F"/>
                <w:lang w:val="en-US"/>
              </w:rPr>
              <w:t>35</w:t>
            </w:r>
            <w:r w:rsidRPr="00FB67CA">
              <w:rPr>
                <w:rFonts w:ascii="Arial" w:hAnsi="Arial"/>
                <w:color w:val="4C4D4F"/>
                <w:lang w:val="en-US"/>
              </w:rPr>
              <w:t xml:space="preserve"> and read case study on page </w:t>
            </w:r>
            <w:r w:rsidR="00511838">
              <w:rPr>
                <w:rFonts w:ascii="Arial" w:hAnsi="Arial"/>
                <w:color w:val="4C4D4F"/>
                <w:lang w:val="en-US"/>
              </w:rPr>
              <w:t>27</w:t>
            </w:r>
            <w:r w:rsidRPr="00FB67CA">
              <w:rPr>
                <w:rFonts w:ascii="Arial" w:hAnsi="Arial"/>
                <w:color w:val="4C4D4F"/>
                <w:lang w:val="en-US"/>
              </w:rPr>
              <w:t>.</w:t>
            </w:r>
            <w:r w:rsidRPr="0037205E">
              <w:rPr>
                <w:rFonts w:ascii="Arial" w:hAnsi="Arial"/>
                <w:color w:val="4C4D4F"/>
              </w:rPr>
              <w:t> </w:t>
            </w:r>
          </w:p>
        </w:tc>
      </w:tr>
      <w:tr w:rsidR="002721F3" w:rsidRPr="0037205E" w14:paraId="0CE273AD" w14:textId="77777777" w:rsidTr="002721F3">
        <w:trPr>
          <w:trHeight w:val="780"/>
        </w:trPr>
        <w:tc>
          <w:tcPr>
            <w:tcW w:w="2825" w:type="dxa"/>
            <w:hideMark/>
          </w:tcPr>
          <w:p w14:paraId="501EACB7" w14:textId="77777777" w:rsidR="0037205E" w:rsidRPr="0037205E" w:rsidRDefault="0037205E" w:rsidP="0037205E">
            <w:pPr>
              <w:spacing w:after="0" w:line="240" w:lineRule="auto"/>
              <w:ind w:left="75" w:right="75"/>
              <w:textAlignment w:val="baseline"/>
              <w:rPr>
                <w:rFonts w:ascii="Segoe UI" w:hAnsi="Segoe UI" w:cs="Segoe UI"/>
                <w:color w:val="auto"/>
              </w:rPr>
            </w:pPr>
            <w:r w:rsidRPr="0037205E">
              <w:rPr>
                <w:rFonts w:ascii="Arial" w:hAnsi="Arial"/>
                <w:b/>
                <w:bCs/>
                <w:color w:val="58595B"/>
                <w:lang w:val="en-US"/>
              </w:rPr>
              <w:lastRenderedPageBreak/>
              <w:t xml:space="preserve">Bairnsdale Livestock Exchange, Bairnsdale Oval and </w:t>
            </w:r>
            <w:proofErr w:type="spellStart"/>
            <w:r w:rsidRPr="0037205E">
              <w:rPr>
                <w:rFonts w:ascii="Arial" w:hAnsi="Arial"/>
                <w:b/>
                <w:bCs/>
                <w:color w:val="58595B"/>
                <w:lang w:val="en-US"/>
              </w:rPr>
              <w:t>Magees</w:t>
            </w:r>
            <w:proofErr w:type="spellEnd"/>
            <w:r w:rsidRPr="0037205E">
              <w:rPr>
                <w:rFonts w:ascii="Arial" w:hAnsi="Arial"/>
                <w:b/>
                <w:bCs/>
                <w:color w:val="58595B"/>
                <w:lang w:val="en-US"/>
              </w:rPr>
              <w:t xml:space="preserve"> Gully Water Management</w:t>
            </w:r>
            <w:r w:rsidRPr="0037205E">
              <w:rPr>
                <w:rFonts w:ascii="Arial" w:hAnsi="Arial"/>
                <w:color w:val="58595B"/>
              </w:rPr>
              <w:t> </w:t>
            </w:r>
          </w:p>
        </w:tc>
        <w:tc>
          <w:tcPr>
            <w:tcW w:w="1701" w:type="dxa"/>
            <w:hideMark/>
          </w:tcPr>
          <w:p w14:paraId="43D4D3DA"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56D03733" w14:textId="3A549003"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 xml:space="preserve">On track for December 2023 completion. See </w:t>
            </w:r>
            <w:r w:rsidRPr="00F02281">
              <w:rPr>
                <w:rFonts w:ascii="Arial" w:hAnsi="Arial"/>
                <w:color w:val="4C4D4F"/>
                <w:lang w:val="en-US"/>
              </w:rPr>
              <w:t>page 2</w:t>
            </w:r>
            <w:r w:rsidR="00F02281" w:rsidRPr="00F02281">
              <w:rPr>
                <w:rFonts w:ascii="Arial" w:hAnsi="Arial"/>
                <w:color w:val="4C4D4F"/>
                <w:lang w:val="en-US"/>
              </w:rPr>
              <w:t>8</w:t>
            </w:r>
            <w:r w:rsidRPr="00F02281">
              <w:rPr>
                <w:rFonts w:ascii="Arial" w:hAnsi="Arial"/>
                <w:color w:val="4C4D4F"/>
                <w:lang w:val="en-US"/>
              </w:rPr>
              <w:t>.</w:t>
            </w:r>
            <w:r w:rsidRPr="0037205E">
              <w:rPr>
                <w:rFonts w:ascii="Arial" w:hAnsi="Arial"/>
                <w:color w:val="4C4D4F"/>
              </w:rPr>
              <w:t> </w:t>
            </w:r>
          </w:p>
        </w:tc>
      </w:tr>
      <w:tr w:rsidR="002721F3" w:rsidRPr="0037205E" w14:paraId="770E4665" w14:textId="77777777" w:rsidTr="002721F3">
        <w:trPr>
          <w:trHeight w:val="780"/>
        </w:trPr>
        <w:tc>
          <w:tcPr>
            <w:tcW w:w="2825" w:type="dxa"/>
            <w:hideMark/>
          </w:tcPr>
          <w:p w14:paraId="667C66A6"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b/>
                <w:bCs/>
                <w:color w:val="4C4D4F"/>
                <w:lang w:val="en-US"/>
              </w:rPr>
              <w:t>Lakes Entrance IWM Plan</w:t>
            </w:r>
            <w:r w:rsidRPr="0037205E">
              <w:rPr>
                <w:rFonts w:ascii="Arial" w:hAnsi="Arial"/>
                <w:color w:val="4C4D4F"/>
              </w:rPr>
              <w:t> </w:t>
            </w:r>
          </w:p>
        </w:tc>
        <w:tc>
          <w:tcPr>
            <w:tcW w:w="1701" w:type="dxa"/>
            <w:hideMark/>
          </w:tcPr>
          <w:p w14:paraId="4D7ACDFD" w14:textId="77777777" w:rsidR="0037205E" w:rsidRPr="0037205E" w:rsidRDefault="0037205E" w:rsidP="0037205E">
            <w:pPr>
              <w:spacing w:after="0" w:line="240" w:lineRule="auto"/>
              <w:ind w:left="75" w:right="315"/>
              <w:textAlignment w:val="baseline"/>
              <w:rPr>
                <w:rFonts w:ascii="Segoe UI" w:hAnsi="Segoe UI" w:cs="Segoe UI"/>
                <w:color w:val="auto"/>
              </w:rPr>
            </w:pPr>
            <w:r w:rsidRPr="0037205E">
              <w:rPr>
                <w:rFonts w:ascii="Arial" w:hAnsi="Arial"/>
                <w:color w:val="4C4D4F"/>
                <w:lang w:val="en-US"/>
              </w:rPr>
              <w:t>Not yet commenced</w:t>
            </w:r>
            <w:r w:rsidRPr="0037205E">
              <w:rPr>
                <w:rFonts w:ascii="Arial" w:hAnsi="Arial"/>
                <w:color w:val="4C4D4F"/>
              </w:rPr>
              <w:t> </w:t>
            </w:r>
          </w:p>
        </w:tc>
        <w:tc>
          <w:tcPr>
            <w:tcW w:w="5093" w:type="dxa"/>
            <w:hideMark/>
          </w:tcPr>
          <w:p w14:paraId="7B3D3B06" w14:textId="39DCADA5" w:rsidR="0037205E" w:rsidRPr="0037205E" w:rsidRDefault="0037205E" w:rsidP="0037205E">
            <w:pPr>
              <w:spacing w:after="0" w:line="240" w:lineRule="auto"/>
              <w:ind w:left="75" w:right="360"/>
              <w:textAlignment w:val="baseline"/>
              <w:rPr>
                <w:rFonts w:ascii="Segoe UI" w:hAnsi="Segoe UI" w:cs="Segoe UI"/>
                <w:color w:val="auto"/>
              </w:rPr>
            </w:pPr>
            <w:r w:rsidRPr="0037205E">
              <w:rPr>
                <w:rFonts w:ascii="Arial" w:hAnsi="Arial"/>
                <w:color w:val="4C4D4F"/>
                <w:lang w:val="en-US"/>
              </w:rPr>
              <w:t>Carried forward for inclusion in this updated SDS. See page</w:t>
            </w:r>
            <w:r w:rsidR="00241186">
              <w:rPr>
                <w:rFonts w:ascii="Arial" w:hAnsi="Arial"/>
                <w:color w:val="4C4D4F"/>
                <w:lang w:val="en-US"/>
              </w:rPr>
              <w:t xml:space="preserve"> 40.</w:t>
            </w:r>
          </w:p>
        </w:tc>
      </w:tr>
      <w:tr w:rsidR="002721F3" w:rsidRPr="0037205E" w14:paraId="688FC9DE" w14:textId="77777777" w:rsidTr="002721F3">
        <w:trPr>
          <w:trHeight w:val="780"/>
        </w:trPr>
        <w:tc>
          <w:tcPr>
            <w:tcW w:w="2825" w:type="dxa"/>
            <w:hideMark/>
          </w:tcPr>
          <w:p w14:paraId="79AF7C36"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b/>
                <w:bCs/>
                <w:color w:val="4C4D4F"/>
                <w:lang w:val="en-US"/>
              </w:rPr>
              <w:t>Place-Based Planning in East Gippsland</w:t>
            </w:r>
            <w:r w:rsidRPr="0037205E">
              <w:rPr>
                <w:rFonts w:ascii="Arial" w:hAnsi="Arial"/>
                <w:color w:val="4C4D4F"/>
              </w:rPr>
              <w:t> </w:t>
            </w:r>
          </w:p>
        </w:tc>
        <w:tc>
          <w:tcPr>
            <w:tcW w:w="1701" w:type="dxa"/>
            <w:hideMark/>
          </w:tcPr>
          <w:p w14:paraId="5C3D16A1"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 and adaptable</w:t>
            </w:r>
            <w:r w:rsidRPr="0037205E">
              <w:rPr>
                <w:rFonts w:ascii="Arial" w:hAnsi="Arial"/>
                <w:color w:val="4C4D4F"/>
              </w:rPr>
              <w:t> </w:t>
            </w:r>
          </w:p>
        </w:tc>
        <w:tc>
          <w:tcPr>
            <w:tcW w:w="5093" w:type="dxa"/>
            <w:hideMark/>
          </w:tcPr>
          <w:p w14:paraId="2E9A17CC" w14:textId="7EE995AB"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Carried forward with an emphasis on community resilience through ‘Supporting Communities to Achieve Their Objectives Around Water’ opportunities as they arise. See page</w:t>
            </w:r>
            <w:r w:rsidR="00C365CC">
              <w:rPr>
                <w:rFonts w:ascii="Arial" w:hAnsi="Arial"/>
                <w:color w:val="4C4D4F"/>
                <w:lang w:val="en-US"/>
              </w:rPr>
              <w:t xml:space="preserve"> </w:t>
            </w:r>
            <w:r w:rsidR="00C62C66">
              <w:rPr>
                <w:rFonts w:ascii="Arial" w:hAnsi="Arial"/>
                <w:color w:val="4C4D4F"/>
                <w:lang w:val="en-US"/>
              </w:rPr>
              <w:t>34</w:t>
            </w:r>
            <w:r w:rsidR="00C365CC">
              <w:rPr>
                <w:rFonts w:ascii="Arial" w:hAnsi="Arial"/>
                <w:color w:val="4C4D4F"/>
                <w:lang w:val="en-US"/>
              </w:rPr>
              <w:t>.</w:t>
            </w:r>
          </w:p>
        </w:tc>
      </w:tr>
      <w:tr w:rsidR="002721F3" w:rsidRPr="0037205E" w14:paraId="79224F79" w14:textId="77777777" w:rsidTr="002721F3">
        <w:trPr>
          <w:trHeight w:val="1005"/>
        </w:trPr>
        <w:tc>
          <w:tcPr>
            <w:tcW w:w="2825" w:type="dxa"/>
            <w:hideMark/>
          </w:tcPr>
          <w:p w14:paraId="6F4044E7" w14:textId="77777777" w:rsidR="0037205E" w:rsidRPr="0037205E" w:rsidRDefault="0037205E" w:rsidP="0037205E">
            <w:pPr>
              <w:spacing w:after="0" w:line="240" w:lineRule="auto"/>
              <w:ind w:left="75" w:right="75"/>
              <w:textAlignment w:val="baseline"/>
              <w:rPr>
                <w:rFonts w:ascii="Segoe UI" w:hAnsi="Segoe UI" w:cs="Segoe UI"/>
                <w:color w:val="auto"/>
              </w:rPr>
            </w:pPr>
            <w:r w:rsidRPr="0037205E">
              <w:rPr>
                <w:rFonts w:ascii="Arial" w:hAnsi="Arial"/>
                <w:b/>
                <w:bCs/>
                <w:color w:val="4C4D4F"/>
                <w:lang w:val="en-US"/>
              </w:rPr>
              <w:t>Planning Guidelines for Developers and Urban Waterway Managers</w:t>
            </w:r>
            <w:r w:rsidRPr="0037205E">
              <w:rPr>
                <w:rFonts w:ascii="Arial" w:hAnsi="Arial"/>
                <w:color w:val="4C4D4F"/>
              </w:rPr>
              <w:t> </w:t>
            </w:r>
          </w:p>
        </w:tc>
        <w:tc>
          <w:tcPr>
            <w:tcW w:w="1701" w:type="dxa"/>
            <w:hideMark/>
          </w:tcPr>
          <w:p w14:paraId="0FA04A68"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13532E42" w14:textId="77777777" w:rsidR="0037205E" w:rsidRPr="0037205E" w:rsidRDefault="0037205E" w:rsidP="0037205E">
            <w:pPr>
              <w:spacing w:after="0" w:line="240" w:lineRule="auto"/>
              <w:ind w:left="75" w:right="135"/>
              <w:textAlignment w:val="baseline"/>
              <w:rPr>
                <w:rFonts w:ascii="Segoe UI" w:hAnsi="Segoe UI" w:cs="Segoe UI"/>
                <w:color w:val="auto"/>
              </w:rPr>
            </w:pPr>
            <w:r w:rsidRPr="0037205E">
              <w:rPr>
                <w:rFonts w:ascii="Arial" w:hAnsi="Arial"/>
                <w:color w:val="4C4D4F"/>
                <w:lang w:val="en-US"/>
              </w:rPr>
              <w:t>This opportunity is now included as part of Policy 3-4 in the Central and Gippsland Sustainable Water Strategy. This work will continue with the Victorian Government exploring ways to embed IWM criteria in planning guidance material and policies.</w:t>
            </w:r>
            <w:r w:rsidRPr="0037205E">
              <w:rPr>
                <w:rFonts w:ascii="Arial" w:hAnsi="Arial"/>
                <w:color w:val="4C4D4F"/>
              </w:rPr>
              <w:t> </w:t>
            </w:r>
          </w:p>
        </w:tc>
      </w:tr>
      <w:tr w:rsidR="002721F3" w:rsidRPr="0037205E" w14:paraId="3C3C5741" w14:textId="77777777" w:rsidTr="002721F3">
        <w:trPr>
          <w:trHeight w:val="780"/>
        </w:trPr>
        <w:tc>
          <w:tcPr>
            <w:tcW w:w="2825" w:type="dxa"/>
            <w:hideMark/>
          </w:tcPr>
          <w:p w14:paraId="344FC952" w14:textId="77777777" w:rsidR="0037205E" w:rsidRPr="0037205E" w:rsidRDefault="0037205E" w:rsidP="0037205E">
            <w:pPr>
              <w:spacing w:after="0" w:line="240" w:lineRule="auto"/>
              <w:ind w:left="75" w:right="690"/>
              <w:textAlignment w:val="baseline"/>
              <w:rPr>
                <w:rFonts w:ascii="Segoe UI" w:hAnsi="Segoe UI" w:cs="Segoe UI"/>
                <w:color w:val="auto"/>
              </w:rPr>
            </w:pPr>
            <w:r w:rsidRPr="0037205E">
              <w:rPr>
                <w:rFonts w:ascii="Arial" w:hAnsi="Arial"/>
                <w:b/>
                <w:bCs/>
                <w:color w:val="4C4D4F"/>
                <w:lang w:val="en-US"/>
              </w:rPr>
              <w:t>Dinner Plain Recycled Water Scheme Investigations</w:t>
            </w:r>
            <w:r w:rsidRPr="0037205E">
              <w:rPr>
                <w:rFonts w:ascii="Arial" w:hAnsi="Arial"/>
                <w:color w:val="4C4D4F"/>
              </w:rPr>
              <w:t> </w:t>
            </w:r>
          </w:p>
        </w:tc>
        <w:tc>
          <w:tcPr>
            <w:tcW w:w="1701" w:type="dxa"/>
            <w:hideMark/>
          </w:tcPr>
          <w:p w14:paraId="73EB2C12"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Complete</w:t>
            </w:r>
            <w:r w:rsidRPr="0037205E">
              <w:rPr>
                <w:rFonts w:ascii="Arial" w:hAnsi="Arial"/>
                <w:color w:val="4C4D4F"/>
              </w:rPr>
              <w:t> </w:t>
            </w:r>
          </w:p>
        </w:tc>
        <w:tc>
          <w:tcPr>
            <w:tcW w:w="5093" w:type="dxa"/>
            <w:hideMark/>
          </w:tcPr>
          <w:p w14:paraId="2006B437"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An options analysis to consider the various options for snowmaking, including recycled water, is complete.</w:t>
            </w:r>
            <w:r w:rsidRPr="0037205E">
              <w:rPr>
                <w:rFonts w:ascii="Arial" w:hAnsi="Arial"/>
                <w:color w:val="4C4D4F"/>
              </w:rPr>
              <w:t> </w:t>
            </w:r>
          </w:p>
        </w:tc>
      </w:tr>
      <w:tr w:rsidR="002721F3" w:rsidRPr="0037205E" w14:paraId="142F36F2" w14:textId="77777777" w:rsidTr="002721F3">
        <w:trPr>
          <w:trHeight w:val="780"/>
        </w:trPr>
        <w:tc>
          <w:tcPr>
            <w:tcW w:w="2825" w:type="dxa"/>
            <w:hideMark/>
          </w:tcPr>
          <w:p w14:paraId="71EC3812"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b/>
                <w:bCs/>
                <w:color w:val="4C4D4F"/>
                <w:lang w:val="en-US"/>
              </w:rPr>
              <w:t>Paynesville Recycled Water</w:t>
            </w:r>
            <w:r w:rsidRPr="0037205E">
              <w:rPr>
                <w:rFonts w:ascii="Arial" w:hAnsi="Arial"/>
                <w:color w:val="4C4D4F"/>
              </w:rPr>
              <w:t> </w:t>
            </w:r>
          </w:p>
        </w:tc>
        <w:tc>
          <w:tcPr>
            <w:tcW w:w="1701" w:type="dxa"/>
            <w:hideMark/>
          </w:tcPr>
          <w:p w14:paraId="0E2FF41E"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60B4D3D3"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The drivers for this opportunity have changed. This will continue to be investigated outside the forum as one of many options as part of EGW's strategic planning.</w:t>
            </w:r>
            <w:r w:rsidRPr="0037205E">
              <w:rPr>
                <w:rFonts w:ascii="Arial" w:hAnsi="Arial"/>
                <w:color w:val="4C4D4F"/>
              </w:rPr>
              <w:t> </w:t>
            </w:r>
          </w:p>
        </w:tc>
      </w:tr>
      <w:tr w:rsidR="002721F3" w:rsidRPr="0037205E" w14:paraId="29E5C8CE" w14:textId="77777777" w:rsidTr="002721F3">
        <w:trPr>
          <w:trHeight w:val="1005"/>
        </w:trPr>
        <w:tc>
          <w:tcPr>
            <w:tcW w:w="2825" w:type="dxa"/>
            <w:hideMark/>
          </w:tcPr>
          <w:p w14:paraId="725BADF7"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b/>
                <w:bCs/>
                <w:color w:val="4C4D4F"/>
                <w:lang w:val="en-US"/>
              </w:rPr>
              <w:t>Maintenance of Community Assets</w:t>
            </w:r>
            <w:r w:rsidRPr="0037205E">
              <w:rPr>
                <w:rFonts w:ascii="Arial" w:hAnsi="Arial"/>
                <w:color w:val="4C4D4F"/>
              </w:rPr>
              <w:t> </w:t>
            </w:r>
          </w:p>
        </w:tc>
        <w:tc>
          <w:tcPr>
            <w:tcW w:w="1701" w:type="dxa"/>
            <w:hideMark/>
          </w:tcPr>
          <w:p w14:paraId="422DC495"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70DB58AD" w14:textId="77777777" w:rsidR="0037205E" w:rsidRPr="0037205E" w:rsidRDefault="0037205E" w:rsidP="0037205E">
            <w:pPr>
              <w:spacing w:after="0" w:line="240" w:lineRule="auto"/>
              <w:ind w:left="75" w:right="135"/>
              <w:textAlignment w:val="baseline"/>
              <w:rPr>
                <w:rFonts w:ascii="Segoe UI" w:hAnsi="Segoe UI" w:cs="Segoe UI"/>
                <w:color w:val="auto"/>
              </w:rPr>
            </w:pPr>
            <w:r w:rsidRPr="0037205E">
              <w:rPr>
                <w:rFonts w:ascii="Arial" w:hAnsi="Arial"/>
                <w:color w:val="4C4D4F"/>
                <w:lang w:val="en-US"/>
              </w:rPr>
              <w:t>Priority community assets are being identified in the wake of recent natural disasters. This work will continue through local IWM plans and the actions of bushfire community recovery committees.</w:t>
            </w:r>
            <w:r w:rsidRPr="0037205E">
              <w:rPr>
                <w:rFonts w:ascii="Arial" w:hAnsi="Arial"/>
                <w:color w:val="4C4D4F"/>
              </w:rPr>
              <w:t> </w:t>
            </w:r>
          </w:p>
        </w:tc>
      </w:tr>
      <w:tr w:rsidR="002721F3" w:rsidRPr="0037205E" w14:paraId="780DBF58" w14:textId="77777777" w:rsidTr="002721F3">
        <w:trPr>
          <w:trHeight w:val="840"/>
        </w:trPr>
        <w:tc>
          <w:tcPr>
            <w:tcW w:w="2825" w:type="dxa"/>
            <w:hideMark/>
          </w:tcPr>
          <w:p w14:paraId="6F55464C" w14:textId="77777777" w:rsidR="0037205E" w:rsidRPr="0037205E" w:rsidRDefault="0037205E" w:rsidP="0037205E">
            <w:pPr>
              <w:spacing w:after="0" w:line="240" w:lineRule="auto"/>
              <w:ind w:left="75" w:right="270"/>
              <w:textAlignment w:val="baseline"/>
              <w:rPr>
                <w:rFonts w:ascii="Segoe UI" w:hAnsi="Segoe UI" w:cs="Segoe UI"/>
                <w:color w:val="auto"/>
              </w:rPr>
            </w:pPr>
            <w:r w:rsidRPr="0037205E">
              <w:rPr>
                <w:rFonts w:ascii="Arial" w:hAnsi="Arial"/>
                <w:b/>
                <w:bCs/>
                <w:color w:val="4C4D4F"/>
                <w:lang w:val="en-US"/>
              </w:rPr>
              <w:t>Tambo River Improvement at Swifts Creek Township</w:t>
            </w:r>
            <w:r w:rsidRPr="0037205E">
              <w:rPr>
                <w:rFonts w:ascii="Arial" w:hAnsi="Arial"/>
                <w:color w:val="4C4D4F"/>
              </w:rPr>
              <w:t> </w:t>
            </w:r>
          </w:p>
        </w:tc>
        <w:tc>
          <w:tcPr>
            <w:tcW w:w="1701" w:type="dxa"/>
            <w:hideMark/>
          </w:tcPr>
          <w:p w14:paraId="3576CC0B"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297E9458" w14:textId="13F58CC3" w:rsidR="0037205E" w:rsidRPr="0037205E" w:rsidRDefault="0037205E" w:rsidP="0037205E">
            <w:pPr>
              <w:spacing w:after="0" w:line="240" w:lineRule="auto"/>
              <w:ind w:left="75" w:right="135"/>
              <w:textAlignment w:val="baseline"/>
              <w:rPr>
                <w:rFonts w:ascii="Segoe UI" w:hAnsi="Segoe UI" w:cs="Segoe UI"/>
                <w:color w:val="auto"/>
              </w:rPr>
            </w:pPr>
            <w:r w:rsidRPr="0037205E">
              <w:rPr>
                <w:rFonts w:ascii="Arial" w:hAnsi="Arial"/>
                <w:color w:val="4C4D4F"/>
                <w:lang w:val="en-US"/>
              </w:rPr>
              <w:t>Carried forward as ‘Improving the Health of Waterways Flowing into the Gippsland Lakes and the Tambo, Nicholson, and Mitchell Rivers'. See page</w:t>
            </w:r>
            <w:r w:rsidR="00C62C66">
              <w:rPr>
                <w:rFonts w:ascii="Arial" w:hAnsi="Arial"/>
                <w:color w:val="4C4D4F"/>
                <w:lang w:val="en-US"/>
              </w:rPr>
              <w:t xml:space="preserve"> 43.</w:t>
            </w:r>
            <w:r w:rsidRPr="0037205E">
              <w:rPr>
                <w:rFonts w:ascii="Arial" w:hAnsi="Arial"/>
                <w:color w:val="4C4D4F"/>
              </w:rPr>
              <w:t> </w:t>
            </w:r>
          </w:p>
        </w:tc>
      </w:tr>
      <w:tr w:rsidR="002721F3" w:rsidRPr="0037205E" w14:paraId="052D60E8" w14:textId="77777777" w:rsidTr="002721F3">
        <w:trPr>
          <w:trHeight w:val="780"/>
        </w:trPr>
        <w:tc>
          <w:tcPr>
            <w:tcW w:w="2825" w:type="dxa"/>
            <w:hideMark/>
          </w:tcPr>
          <w:p w14:paraId="427288D5" w14:textId="77777777" w:rsidR="0037205E" w:rsidRPr="0037205E" w:rsidRDefault="0037205E" w:rsidP="0037205E">
            <w:pPr>
              <w:spacing w:after="0" w:line="240" w:lineRule="auto"/>
              <w:ind w:left="75" w:right="75"/>
              <w:textAlignment w:val="baseline"/>
              <w:rPr>
                <w:rFonts w:ascii="Segoe UI" w:hAnsi="Segoe UI" w:cs="Segoe UI"/>
                <w:color w:val="auto"/>
              </w:rPr>
            </w:pPr>
            <w:r w:rsidRPr="0037205E">
              <w:rPr>
                <w:rFonts w:ascii="Arial" w:hAnsi="Arial"/>
                <w:b/>
                <w:bCs/>
                <w:color w:val="4C4D4F"/>
                <w:lang w:val="en-US"/>
              </w:rPr>
              <w:t>Supporting Aboriginal Water Values in East Gippsland</w:t>
            </w:r>
            <w:r w:rsidRPr="0037205E">
              <w:rPr>
                <w:rFonts w:ascii="Arial" w:hAnsi="Arial"/>
                <w:color w:val="4C4D4F"/>
              </w:rPr>
              <w:t> </w:t>
            </w:r>
          </w:p>
        </w:tc>
        <w:tc>
          <w:tcPr>
            <w:tcW w:w="1701" w:type="dxa"/>
            <w:hideMark/>
          </w:tcPr>
          <w:p w14:paraId="3EF82294" w14:textId="77777777" w:rsidR="0037205E" w:rsidRPr="0037205E" w:rsidRDefault="0037205E" w:rsidP="0037205E">
            <w:pPr>
              <w:spacing w:after="0" w:line="240" w:lineRule="auto"/>
              <w:ind w:left="75"/>
              <w:textAlignment w:val="baseline"/>
              <w:rPr>
                <w:rFonts w:ascii="Segoe UI" w:hAnsi="Segoe UI" w:cs="Segoe UI"/>
                <w:color w:val="auto"/>
              </w:rPr>
            </w:pPr>
            <w:r w:rsidRPr="0037205E">
              <w:rPr>
                <w:rFonts w:ascii="Arial" w:hAnsi="Arial"/>
                <w:color w:val="4C4D4F"/>
                <w:lang w:val="en-US"/>
              </w:rPr>
              <w:t>Underway</w:t>
            </w:r>
            <w:r w:rsidRPr="0037205E">
              <w:rPr>
                <w:rFonts w:ascii="Arial" w:hAnsi="Arial"/>
                <w:color w:val="4C4D4F"/>
              </w:rPr>
              <w:t> </w:t>
            </w:r>
          </w:p>
        </w:tc>
        <w:tc>
          <w:tcPr>
            <w:tcW w:w="5093" w:type="dxa"/>
            <w:hideMark/>
          </w:tcPr>
          <w:p w14:paraId="29CBA95F" w14:textId="408CC0D6" w:rsidR="0037205E" w:rsidRPr="0037205E" w:rsidRDefault="0037205E" w:rsidP="00C62C66">
            <w:pPr>
              <w:spacing w:after="0" w:line="240" w:lineRule="auto"/>
              <w:ind w:left="75"/>
              <w:textAlignment w:val="baseline"/>
              <w:rPr>
                <w:rFonts w:ascii="Segoe UI" w:hAnsi="Segoe UI" w:cs="Segoe UI"/>
                <w:color w:val="auto"/>
              </w:rPr>
            </w:pPr>
            <w:r w:rsidRPr="0037205E">
              <w:rPr>
                <w:rFonts w:ascii="Arial" w:hAnsi="Arial"/>
                <w:color w:val="4C4D4F"/>
                <w:lang w:val="en-US"/>
              </w:rPr>
              <w:t>GLaWAC is a member of the forum and the practitioners’ group. Carried forward for inclusion in this updated SDS. See page</w:t>
            </w:r>
            <w:r w:rsidRPr="0037205E">
              <w:rPr>
                <w:rFonts w:ascii="Arial" w:hAnsi="Arial"/>
                <w:color w:val="4C4D4F"/>
              </w:rPr>
              <w:t> </w:t>
            </w:r>
            <w:r w:rsidR="00C62C66">
              <w:rPr>
                <w:rFonts w:ascii="Arial" w:hAnsi="Arial"/>
                <w:color w:val="4C4D4F"/>
              </w:rPr>
              <w:t>31.</w:t>
            </w:r>
          </w:p>
        </w:tc>
      </w:tr>
    </w:tbl>
    <w:p w14:paraId="0FDEB1B0" w14:textId="661E9FEE" w:rsidR="00226ADB" w:rsidRPr="00AE0BC3" w:rsidRDefault="00226ADB" w:rsidP="009B0BD2">
      <w:pPr>
        <w:pStyle w:val="BodyText"/>
        <w:rPr>
          <w:lang w:eastAsia="en-AU"/>
        </w:rPr>
      </w:pPr>
    </w:p>
    <w:p w14:paraId="3278ACC5" w14:textId="1ED5C57C" w:rsidR="00610CA6" w:rsidRDefault="00BF7706" w:rsidP="00DA52F4">
      <w:pPr>
        <w:pStyle w:val="Heading1"/>
      </w:pPr>
      <w:bookmarkStart w:id="50" w:name="_Toc105599794"/>
      <w:bookmarkStart w:id="51" w:name="_Toc117694667"/>
      <w:r>
        <w:lastRenderedPageBreak/>
        <w:t xml:space="preserve">Case </w:t>
      </w:r>
      <w:r w:rsidR="004B7C69">
        <w:t>s</w:t>
      </w:r>
      <w:r>
        <w:t>tudy</w:t>
      </w:r>
      <w:bookmarkEnd w:id="50"/>
      <w:bookmarkEnd w:id="51"/>
    </w:p>
    <w:p w14:paraId="32E7DC8A" w14:textId="2C4D1F89" w:rsidR="005D09BD" w:rsidRDefault="007A61E0" w:rsidP="005D09BD">
      <w:pPr>
        <w:pStyle w:val="Heading2"/>
        <w:spacing w:before="240" w:after="100"/>
      </w:pPr>
      <w:bookmarkStart w:id="52" w:name="_Toc117694668"/>
      <w:r>
        <w:t>Love our lakes</w:t>
      </w:r>
      <w:bookmarkEnd w:id="52"/>
    </w:p>
    <w:p w14:paraId="0C157D07" w14:textId="77777777" w:rsidR="007A61E0" w:rsidRDefault="007A61E0" w:rsidP="007A61E0">
      <w:pPr>
        <w:pStyle w:val="Heading3"/>
      </w:pPr>
      <w:bookmarkStart w:id="53" w:name="_Toc117694669"/>
      <w:r>
        <w:t>A new wetland and partnership</w:t>
      </w:r>
      <w:bookmarkEnd w:id="53"/>
      <w:r>
        <w:t xml:space="preserve"> </w:t>
      </w:r>
    </w:p>
    <w:p w14:paraId="4B544A0A" w14:textId="761B8B48" w:rsidR="007A61E0" w:rsidRDefault="007A61E0" w:rsidP="007A61E0">
      <w:pPr>
        <w:pStyle w:val="BodyText"/>
      </w:pPr>
      <w:r>
        <w:t xml:space="preserve">A dusty paddock outside Bairnsdale has been transformed into a new wetland with 80,000 trees that will help protect the health of the Gippsland Lakes, thanks to a partnership between local business Cranes Asphalt and Bitumen Sealing and the Gunaikurnai Land and Waters Aboriginal Corporation (GLaWAC), coordinated by East Gippsland Shire Council. </w:t>
      </w:r>
    </w:p>
    <w:p w14:paraId="26726199" w14:textId="2F6FFDA2" w:rsidR="007A61E0" w:rsidRDefault="007A61E0" w:rsidP="007A61E0">
      <w:pPr>
        <w:pStyle w:val="BodyText"/>
      </w:pPr>
      <w:r>
        <w:t xml:space="preserve">'This has been a big project for us, employing 15 crew, including our apprentices, and taking over three months,' said GLaWAC Project Manager, Nigel Pearce. </w:t>
      </w:r>
    </w:p>
    <w:p w14:paraId="0D16E328" w14:textId="2AF4D658" w:rsidR="007A61E0" w:rsidRDefault="007A61E0" w:rsidP="007A61E0">
      <w:pPr>
        <w:pStyle w:val="BodyText"/>
      </w:pPr>
      <w:r>
        <w:t xml:space="preserve">'This project has helped our team reconnect with Country. Our people have lived here thousands of years and we feel like we have a responsibility to care for it. This project is a great example of people working together to make things happen.' </w:t>
      </w:r>
    </w:p>
    <w:p w14:paraId="0AC8F25E" w14:textId="77777777" w:rsidR="007A61E0" w:rsidRDefault="007A61E0" w:rsidP="007A61E0">
      <w:pPr>
        <w:pStyle w:val="BodyText"/>
      </w:pPr>
      <w:r>
        <w:t xml:space="preserve">'Cranes is very proud to be in partnership with GLaWAC to deliver a project like this,' said Chris Settle, Cranes’ General Manager – Delivery. 'I hope it’s just the start of a long- term relationship and we’re looking forward to the next project,' he added. </w:t>
      </w:r>
    </w:p>
    <w:p w14:paraId="4E39F1E4" w14:textId="5539CA6B" w:rsidR="007A61E0" w:rsidRDefault="007A61E0" w:rsidP="001E341B">
      <w:pPr>
        <w:pStyle w:val="Heading3"/>
      </w:pPr>
      <w:bookmarkStart w:id="54" w:name="_Toc117694670"/>
      <w:r>
        <w:t>Protecting the Gippsland Lakes</w:t>
      </w:r>
      <w:bookmarkEnd w:id="54"/>
      <w:r>
        <w:t xml:space="preserve"> </w:t>
      </w:r>
    </w:p>
    <w:p w14:paraId="447837E8" w14:textId="56BAE7A6" w:rsidR="007A61E0" w:rsidRDefault="007A61E0" w:rsidP="007A61E0">
      <w:pPr>
        <w:pStyle w:val="BodyText"/>
      </w:pPr>
      <w:r>
        <w:t xml:space="preserve">While the new partnership has provided employment and community benefits, the wetland itself also will capture stormwater redirected from the local urban area. </w:t>
      </w:r>
    </w:p>
    <w:p w14:paraId="182393B2" w14:textId="3A0AF8BB" w:rsidR="007A61E0" w:rsidRDefault="007A61E0" w:rsidP="007A61E0">
      <w:pPr>
        <w:pStyle w:val="BodyText"/>
      </w:pPr>
      <w:r>
        <w:t xml:space="preserve">'This wetland will help filter water and protect the internationally significant Jones Bay wetlands,' said program coordinator Sean Phillipson from the Gippsland Lakes Coordinating Committee (GLCC), the organisation tasked with making funding recommendations to Victoria’s Minister for Water for the Gippsland Lakes Community Grants Program. </w:t>
      </w:r>
    </w:p>
    <w:p w14:paraId="3793A50A" w14:textId="7B2D4492" w:rsidR="007A61E0" w:rsidRDefault="007A61E0" w:rsidP="007A61E0">
      <w:pPr>
        <w:pStyle w:val="BodyText"/>
      </w:pPr>
      <w:r>
        <w:t xml:space="preserve">Sean explained the importance of the project in helping address urban and industrial water quality impacts in Bairnsdale’s east. 'The filtering effect of plants is a major contributor to cleaner water entering the larger waterways,' Sean said. </w:t>
      </w:r>
    </w:p>
    <w:p w14:paraId="362F4FDE" w14:textId="77777777" w:rsidR="007A61E0" w:rsidRDefault="007A61E0" w:rsidP="001E341B">
      <w:pPr>
        <w:pStyle w:val="Heading3"/>
      </w:pPr>
      <w:bookmarkStart w:id="55" w:name="_Toc117694671"/>
      <w:r>
        <w:t>A space for nature</w:t>
      </w:r>
      <w:bookmarkEnd w:id="55"/>
      <w:r>
        <w:t xml:space="preserve"> </w:t>
      </w:r>
    </w:p>
    <w:p w14:paraId="3C062302" w14:textId="77777777" w:rsidR="007A61E0" w:rsidRDefault="007A61E0" w:rsidP="007A61E0">
      <w:pPr>
        <w:pStyle w:val="BodyText"/>
      </w:pPr>
      <w:r>
        <w:t xml:space="preserve">As well as helping to protect the Ramsar listed Gippsland Lakes, the new wetland is expected to become, in time, a haven for important plants and animals. </w:t>
      </w:r>
    </w:p>
    <w:p w14:paraId="24C35D0D" w14:textId="77777777" w:rsidR="007A61E0" w:rsidRDefault="007A61E0" w:rsidP="007A61E0">
      <w:pPr>
        <w:pStyle w:val="BodyText"/>
      </w:pPr>
      <w:r>
        <w:lastRenderedPageBreak/>
        <w:t xml:space="preserve">'The area has been planted out with native vegetation,' explained Sean. 'Meaning it will also be attractive to native frogs, bugs, birds and other critters.' </w:t>
      </w:r>
    </w:p>
    <w:p w14:paraId="1DA6A92F" w14:textId="77777777" w:rsidR="007A61E0" w:rsidRDefault="007A61E0" w:rsidP="007A61E0">
      <w:pPr>
        <w:pStyle w:val="BodyText"/>
      </w:pPr>
      <w:r>
        <w:t xml:space="preserve">Other wetlands established on private property as part of the GLCC program have seen the return of endangered frogs and significant bird species. </w:t>
      </w:r>
    </w:p>
    <w:p w14:paraId="4DD333D6" w14:textId="47776DD5" w:rsidR="007A61E0" w:rsidRDefault="007A61E0" w:rsidP="007A61E0">
      <w:pPr>
        <w:pStyle w:val="BodyText"/>
      </w:pPr>
      <w:r>
        <w:t xml:space="preserve">This project was funded by the Victorian State Government. For more about projects funded through GLCC, go to </w:t>
      </w:r>
      <w:hyperlink r:id="rId47" w:history="1">
        <w:r w:rsidR="00334A67" w:rsidRPr="008B407B">
          <w:rPr>
            <w:rStyle w:val="Hyperlink"/>
          </w:rPr>
          <w:t>www.loveourlakes.net.au</w:t>
        </w:r>
      </w:hyperlink>
      <w:r w:rsidR="00334A67">
        <w:t xml:space="preserve"> </w:t>
      </w:r>
      <w:r>
        <w:t xml:space="preserve"> </w:t>
      </w:r>
    </w:p>
    <w:p w14:paraId="662FC775" w14:textId="77777777" w:rsidR="00DA52F4" w:rsidRDefault="00133B28" w:rsidP="00DA52F4">
      <w:pPr>
        <w:pStyle w:val="Heading1"/>
      </w:pPr>
      <w:bookmarkStart w:id="56" w:name="_Toc117694672"/>
      <w:bookmarkStart w:id="57" w:name="_Toc105599795"/>
      <w:r>
        <w:t xml:space="preserve">Case </w:t>
      </w:r>
      <w:r w:rsidR="004F4E47">
        <w:t>s</w:t>
      </w:r>
      <w:r>
        <w:t>tudy</w:t>
      </w:r>
      <w:bookmarkEnd w:id="56"/>
    </w:p>
    <w:p w14:paraId="2EB8E23E" w14:textId="5203D2F5" w:rsidR="00491498" w:rsidRDefault="00133B28" w:rsidP="001D7C1E">
      <w:pPr>
        <w:pStyle w:val="Heading2"/>
      </w:pPr>
      <w:bookmarkStart w:id="58" w:name="_Toc117694673"/>
      <w:r>
        <w:t>The IWM plan for Bairnsdale</w:t>
      </w:r>
      <w:bookmarkEnd w:id="57"/>
      <w:bookmarkEnd w:id="58"/>
    </w:p>
    <w:p w14:paraId="7590202F" w14:textId="77777777" w:rsidR="00BC62E3" w:rsidRDefault="00BC62E3" w:rsidP="00BC62E3">
      <w:pPr>
        <w:pStyle w:val="Heading3"/>
      </w:pPr>
      <w:bookmarkStart w:id="59" w:name="_Toc117694674"/>
      <w:r>
        <w:t>Planning for the resilience, liveability and future of the gateway to the Gippsland Lakes</w:t>
      </w:r>
      <w:bookmarkEnd w:id="59"/>
      <w:r>
        <w:t xml:space="preserve"> </w:t>
      </w:r>
    </w:p>
    <w:p w14:paraId="7F5D84E3" w14:textId="77777777" w:rsidR="00BC62E3" w:rsidRDefault="00BC62E3" w:rsidP="00BC62E3">
      <w:pPr>
        <w:pStyle w:val="BodyText"/>
        <w:rPr>
          <w:lang w:eastAsia="en-AU"/>
        </w:rPr>
      </w:pPr>
      <w:r>
        <w:rPr>
          <w:lang w:eastAsia="en-AU"/>
        </w:rPr>
        <w:t xml:space="preserve">An integrated water management (IWM) plan for Bairnsdale was completed in August 2021, bringing together multiple organisations with an interest in aspects of the water cycle. The need for a coordinated and consistent plan for Bairnsdale was identified as a priority in the East Gippsland IWM Forum 2018 Strategic Directions Statement (SDS). The stage is now set to implement some of the priority projects identified in the plan. </w:t>
      </w:r>
    </w:p>
    <w:p w14:paraId="7A944262" w14:textId="77777777" w:rsidR="00BC62E3" w:rsidRDefault="00BC62E3" w:rsidP="00BC62E3">
      <w:pPr>
        <w:pStyle w:val="BodyText"/>
        <w:rPr>
          <w:lang w:eastAsia="en-AU"/>
        </w:rPr>
      </w:pPr>
      <w:r>
        <w:rPr>
          <w:lang w:eastAsia="en-AU"/>
        </w:rPr>
        <w:t xml:space="preserve">The vision for the Bairnsdale IWM Plan (2020 – 2030) is for 'innovative and collaborative water management to maximise the resilience, liveability and economic prosperity of our East Gippsland communities and connected waterways, wetlands and the Gippsland Lakes.' As well as the vision, it sets out specific objectives, outcomes, and priorities in line with those defined in the SDS. </w:t>
      </w:r>
    </w:p>
    <w:p w14:paraId="7F594C8B" w14:textId="77777777" w:rsidR="00BC62E3" w:rsidRDefault="00BC62E3" w:rsidP="00BC62E3">
      <w:pPr>
        <w:pStyle w:val="BodyText"/>
        <w:rPr>
          <w:lang w:eastAsia="en-AU"/>
        </w:rPr>
      </w:pPr>
      <w:r>
        <w:rPr>
          <w:lang w:eastAsia="en-AU"/>
        </w:rPr>
        <w:t xml:space="preserve">The plan was informed by consultation with East Gippsland Water, East Gippsland Shire Council, East Gippsland Catchment Management Authority, Gunaikurnai Land and Waters Aboriginal Corporation and the Department of Environment, Land, Water and Planning. </w:t>
      </w:r>
    </w:p>
    <w:p w14:paraId="1C3BDCAB" w14:textId="77777777" w:rsidR="00BC62E3" w:rsidRDefault="00BC62E3" w:rsidP="00BC62E3">
      <w:pPr>
        <w:pStyle w:val="BodyText"/>
        <w:rPr>
          <w:lang w:eastAsia="en-AU"/>
        </w:rPr>
      </w:pPr>
      <w:r>
        <w:rPr>
          <w:lang w:eastAsia="en-AU"/>
        </w:rPr>
        <w:t xml:space="preserve">The collaborative process of developing the plan aimed to identify and prioritise IWM opportunities across the area that respond to Bairnsdale’s unique social and biophysical context, including consideration of: </w:t>
      </w:r>
    </w:p>
    <w:p w14:paraId="33031941" w14:textId="77777777" w:rsidR="00BC62E3" w:rsidRDefault="00BC62E3" w:rsidP="00BC62E3">
      <w:pPr>
        <w:pStyle w:val="BodyText"/>
        <w:numPr>
          <w:ilvl w:val="0"/>
          <w:numId w:val="24"/>
        </w:numPr>
        <w:rPr>
          <w:lang w:eastAsia="en-AU"/>
        </w:rPr>
      </w:pPr>
      <w:r>
        <w:rPr>
          <w:lang w:eastAsia="en-AU"/>
        </w:rPr>
        <w:t xml:space="preserve">the Mitchell River that runs through the town and supplies water to Bairnsdale </w:t>
      </w:r>
    </w:p>
    <w:p w14:paraId="2C2F2917" w14:textId="26DF25C7" w:rsidR="00986F51" w:rsidRDefault="00BC62E3" w:rsidP="00BC62E3">
      <w:pPr>
        <w:pStyle w:val="BodyText"/>
        <w:numPr>
          <w:ilvl w:val="0"/>
          <w:numId w:val="24"/>
        </w:numPr>
        <w:rPr>
          <w:lang w:eastAsia="en-AU"/>
        </w:rPr>
      </w:pPr>
      <w:r>
        <w:rPr>
          <w:lang w:eastAsia="en-AU"/>
        </w:rPr>
        <w:t xml:space="preserve">the Gippsland Lakes and other surrounding environmental assets </w:t>
      </w:r>
      <w:r w:rsidR="00202037">
        <w:rPr>
          <w:lang w:eastAsia="en-AU"/>
        </w:rPr>
        <w:t>that</w:t>
      </w:r>
      <w:r>
        <w:rPr>
          <w:lang w:eastAsia="en-AU"/>
        </w:rPr>
        <w:t xml:space="preserve"> provide valuable recreational assets for locals and tourists </w:t>
      </w:r>
    </w:p>
    <w:p w14:paraId="1F532EA9" w14:textId="77777777" w:rsidR="00986F51" w:rsidRDefault="00BC62E3" w:rsidP="007D366C">
      <w:pPr>
        <w:pStyle w:val="BodyText"/>
        <w:numPr>
          <w:ilvl w:val="0"/>
          <w:numId w:val="24"/>
        </w:numPr>
        <w:rPr>
          <w:lang w:eastAsia="en-AU"/>
        </w:rPr>
      </w:pPr>
      <w:r>
        <w:rPr>
          <w:lang w:eastAsia="en-AU"/>
        </w:rPr>
        <w:t xml:space="preserve">the need for secure water supplies into the future in the context of climate change and population growth </w:t>
      </w:r>
    </w:p>
    <w:p w14:paraId="0BE62C89" w14:textId="77777777" w:rsidR="00A63FF6" w:rsidRDefault="00BC62E3" w:rsidP="00C2120C">
      <w:pPr>
        <w:pStyle w:val="BodyText"/>
        <w:numPr>
          <w:ilvl w:val="0"/>
          <w:numId w:val="24"/>
        </w:numPr>
        <w:rPr>
          <w:lang w:eastAsia="en-AU"/>
        </w:rPr>
      </w:pPr>
      <w:r>
        <w:rPr>
          <w:lang w:eastAsia="en-AU"/>
        </w:rPr>
        <w:t xml:space="preserve">the impact of urbanisation on the natural environment </w:t>
      </w:r>
    </w:p>
    <w:p w14:paraId="58EF7F26" w14:textId="57B0E68E" w:rsidR="00BC62E3" w:rsidRDefault="00BC62E3" w:rsidP="00BC62E3">
      <w:pPr>
        <w:pStyle w:val="BodyText"/>
        <w:numPr>
          <w:ilvl w:val="0"/>
          <w:numId w:val="24"/>
        </w:numPr>
        <w:rPr>
          <w:lang w:eastAsia="en-AU"/>
        </w:rPr>
      </w:pPr>
      <w:r>
        <w:rPr>
          <w:lang w:eastAsia="en-AU"/>
        </w:rPr>
        <w:lastRenderedPageBreak/>
        <w:t xml:space="preserve">the development of social and recreational facilities to ensure they are planned for in a ‘water-sensitive’ manner. </w:t>
      </w:r>
    </w:p>
    <w:p w14:paraId="76EDAF64" w14:textId="77777777" w:rsidR="00BC62E3" w:rsidRDefault="00BC62E3" w:rsidP="00BC62E3">
      <w:pPr>
        <w:pStyle w:val="BodyText"/>
        <w:rPr>
          <w:lang w:eastAsia="en-AU"/>
        </w:rPr>
      </w:pPr>
      <w:r>
        <w:rPr>
          <w:lang w:eastAsia="en-AU"/>
        </w:rPr>
        <w:t xml:space="preserve">The group evaluated, prioritised, and ranked 21 IWM opportunities. The result was a prioritised list of opportunities, with the ‘top 5’ being: </w:t>
      </w:r>
    </w:p>
    <w:p w14:paraId="14DA280C" w14:textId="77777777" w:rsidR="00783676" w:rsidRDefault="00BC62E3" w:rsidP="00BC62E3">
      <w:pPr>
        <w:pStyle w:val="BodyText"/>
        <w:numPr>
          <w:ilvl w:val="0"/>
          <w:numId w:val="25"/>
        </w:numPr>
        <w:rPr>
          <w:lang w:eastAsia="en-AU"/>
        </w:rPr>
      </w:pPr>
      <w:r>
        <w:rPr>
          <w:lang w:eastAsia="en-AU"/>
        </w:rPr>
        <w:t xml:space="preserve">WORLD Sporting Precinct IWM Initiatives </w:t>
      </w:r>
    </w:p>
    <w:p w14:paraId="01DD71C6" w14:textId="77777777" w:rsidR="00783676" w:rsidRDefault="00BC62E3" w:rsidP="00BC62E3">
      <w:pPr>
        <w:pStyle w:val="BodyText"/>
        <w:numPr>
          <w:ilvl w:val="0"/>
          <w:numId w:val="25"/>
        </w:numPr>
        <w:rPr>
          <w:lang w:eastAsia="en-AU"/>
        </w:rPr>
      </w:pPr>
      <w:r>
        <w:rPr>
          <w:lang w:eastAsia="en-AU"/>
        </w:rPr>
        <w:t xml:space="preserve">Recycled Water Network Plan, to extend recycled water use </w:t>
      </w:r>
    </w:p>
    <w:p w14:paraId="4DF595BA" w14:textId="77777777" w:rsidR="00783676" w:rsidRDefault="00BC62E3" w:rsidP="00BC62E3">
      <w:pPr>
        <w:pStyle w:val="BodyText"/>
        <w:numPr>
          <w:ilvl w:val="0"/>
          <w:numId w:val="25"/>
        </w:numPr>
        <w:rPr>
          <w:lang w:eastAsia="en-AU"/>
        </w:rPr>
      </w:pPr>
      <w:r>
        <w:rPr>
          <w:lang w:eastAsia="en-AU"/>
        </w:rPr>
        <w:t xml:space="preserve">Community Outreach for IWM, to improve community understanding of IWM </w:t>
      </w:r>
    </w:p>
    <w:p w14:paraId="574B2523" w14:textId="77777777" w:rsidR="00783676" w:rsidRDefault="00BC62E3" w:rsidP="00BC62E3">
      <w:pPr>
        <w:pStyle w:val="BodyText"/>
        <w:numPr>
          <w:ilvl w:val="0"/>
          <w:numId w:val="25"/>
        </w:numPr>
        <w:rPr>
          <w:lang w:eastAsia="en-AU"/>
        </w:rPr>
      </w:pPr>
      <w:r>
        <w:rPr>
          <w:lang w:eastAsia="en-AU"/>
        </w:rPr>
        <w:t xml:space="preserve">IWM Plan for the Bairnsdale Hospital (one of the town’s largest water users) </w:t>
      </w:r>
    </w:p>
    <w:p w14:paraId="6B5F142E" w14:textId="77777777" w:rsidR="00783676" w:rsidRDefault="00BC62E3" w:rsidP="002563E2">
      <w:pPr>
        <w:pStyle w:val="BodyText"/>
        <w:numPr>
          <w:ilvl w:val="0"/>
          <w:numId w:val="25"/>
        </w:numPr>
        <w:rPr>
          <w:lang w:eastAsia="en-AU"/>
        </w:rPr>
      </w:pPr>
      <w:r>
        <w:rPr>
          <w:lang w:eastAsia="en-AU"/>
        </w:rPr>
        <w:t xml:space="preserve">ensuring compliance with existing council water sensitive urban design requirements during construction to reduce the impact of construction on downstream waterways. </w:t>
      </w:r>
    </w:p>
    <w:p w14:paraId="25BBC115" w14:textId="47B0F463" w:rsidR="00BC62E3" w:rsidRDefault="00BC62E3" w:rsidP="00B77B59">
      <w:pPr>
        <w:pStyle w:val="BodyText"/>
        <w:rPr>
          <w:lang w:eastAsia="en-AU"/>
        </w:rPr>
      </w:pPr>
      <w:r>
        <w:rPr>
          <w:lang w:eastAsia="en-AU"/>
        </w:rPr>
        <w:t>With this groundwork done, IWM stakeholders can now incorporate high priority opportunities into their respective business planning and budgetary processes, to progress them in a collaborative way for the long-term benefit of the Bairnsdale community. Its success will now inform the development of other local IWM plans elsewhere in East Gippsland</w:t>
      </w:r>
      <w:r w:rsidR="00B77B59">
        <w:rPr>
          <w:lang w:eastAsia="en-AU"/>
        </w:rPr>
        <w:t>.</w:t>
      </w:r>
    </w:p>
    <w:p w14:paraId="54B9421D" w14:textId="77777777" w:rsidR="00B77B59" w:rsidRDefault="00B77B59">
      <w:r>
        <w:br w:type="page"/>
      </w:r>
    </w:p>
    <w:p w14:paraId="7DDE0D63" w14:textId="05A9E7EF" w:rsidR="00562798" w:rsidRDefault="00B77B59" w:rsidP="007101DF">
      <w:pPr>
        <w:pStyle w:val="Heading1TopofPage"/>
        <w:framePr w:wrap="around"/>
      </w:pPr>
      <w:bookmarkStart w:id="60" w:name="_Toc117694675"/>
      <w:r>
        <w:lastRenderedPageBreak/>
        <w:t xml:space="preserve">IWM </w:t>
      </w:r>
      <w:r w:rsidR="004F4E47">
        <w:t>o</w:t>
      </w:r>
      <w:r>
        <w:t>p</w:t>
      </w:r>
      <w:r w:rsidR="003634A8">
        <w:t>portunities</w:t>
      </w:r>
      <w:bookmarkEnd w:id="60"/>
    </w:p>
    <w:p w14:paraId="0B0DEA5B" w14:textId="77777777" w:rsidR="00562798" w:rsidRDefault="00562798" w:rsidP="00562798">
      <w:pPr>
        <w:pStyle w:val="IntroFeatureText"/>
      </w:pPr>
      <w:r w:rsidRPr="00562798">
        <w:rPr>
          <w:rStyle w:val="normaltextrun"/>
          <w:rFonts w:ascii="Arial" w:hAnsi="Arial"/>
          <w:sz w:val="28"/>
          <w:szCs w:val="28"/>
          <w:shd w:val="clear" w:color="auto" w:fill="FFFFFF"/>
          <w:lang w:val="en-US"/>
        </w:rPr>
        <w:t>Opportunities that link to and address IWM challenges for the region were identified and developed by nominated practitioners of organisations participating in the forum.</w:t>
      </w:r>
      <w:r w:rsidRPr="00562798">
        <w:t> </w:t>
      </w:r>
    </w:p>
    <w:p w14:paraId="69399A0F" w14:textId="0F132FE9" w:rsidR="00702D7B" w:rsidRDefault="00702D7B" w:rsidP="00702D7B">
      <w:pPr>
        <w:pStyle w:val="BodyText"/>
      </w:pPr>
      <w:r>
        <w:t xml:space="preserve">A summary of the priority IWM opportunities </w:t>
      </w:r>
      <w:r w:rsidR="00C25368">
        <w:t xml:space="preserve">are </w:t>
      </w:r>
      <w:r>
        <w:t>detail</w:t>
      </w:r>
      <w:r w:rsidR="00C25368">
        <w:t>ed</w:t>
      </w:r>
      <w:r>
        <w:t xml:space="preserve"> in the following section. This list is dynamic and will continue to be updated to reflect the forum’s priorities and opportunities as they arise. </w:t>
      </w:r>
    </w:p>
    <w:p w14:paraId="3ADF28E8" w14:textId="102D9E5D" w:rsidR="00702D7B" w:rsidRDefault="00702D7B" w:rsidP="00702D7B">
      <w:pPr>
        <w:pStyle w:val="BodyText"/>
      </w:pPr>
      <w:r>
        <w:t xml:space="preserve">Partners are committing their ‘best endeavours’ to ensure priority projects and strategies are moved forward, in line with the shared vision and strategic outcomes of the forum. This will occur through the continued collaboration of partners, the employment of a regional IWM Officer to support forum initiatives, and grant applications and other resourcing to fund the development of business cases and deliver on recommendations. </w:t>
      </w:r>
    </w:p>
    <w:p w14:paraId="57DA3904" w14:textId="297E6860" w:rsidR="00DE0431" w:rsidRDefault="00702D7B" w:rsidP="00702D7B">
      <w:pPr>
        <w:pStyle w:val="BodyText"/>
      </w:pPr>
      <w:r>
        <w:t xml:space="preserve">An annual review will be conducted by the practitioners’ group to measure the progress and success of the forum’s endeavours. </w:t>
      </w:r>
    </w:p>
    <w:p w14:paraId="0D9A7984" w14:textId="54E939A3" w:rsidR="00020E68" w:rsidRDefault="00020E68" w:rsidP="00702D7B">
      <w:pPr>
        <w:pStyle w:val="BodyText"/>
      </w:pPr>
      <w:r>
        <w:br w:type="page"/>
      </w:r>
    </w:p>
    <w:p w14:paraId="15AD91DC" w14:textId="48288811" w:rsidR="00585E52" w:rsidRDefault="00386924" w:rsidP="007101DF">
      <w:pPr>
        <w:pStyle w:val="Heading1TopofPage"/>
        <w:framePr w:wrap="around"/>
      </w:pPr>
      <w:bookmarkStart w:id="61" w:name="_Toc117694676"/>
      <w:r>
        <w:lastRenderedPageBreak/>
        <w:t>Water for Traditional Owners</w:t>
      </w:r>
      <w:bookmarkEnd w:id="61"/>
    </w:p>
    <w:p w14:paraId="1B072B9E" w14:textId="7BFDEFA8" w:rsidR="00585E52" w:rsidRDefault="00AD32F7" w:rsidP="00AD32F7">
      <w:pPr>
        <w:pStyle w:val="IntroFeatureText"/>
      </w:pPr>
      <w:r>
        <w:t xml:space="preserve">Aboriginal people know water is essential to life, and to creation. The Aboriginal community have a strong cultural connection to Country. Aboriginal communities in East Gippsland include </w:t>
      </w:r>
      <w:proofErr w:type="spellStart"/>
      <w:r>
        <w:t>Gunaikurnai</w:t>
      </w:r>
      <w:proofErr w:type="spellEnd"/>
      <w:r>
        <w:t xml:space="preserve">, Bidwell and </w:t>
      </w:r>
      <w:proofErr w:type="spellStart"/>
      <w:r>
        <w:t>Ngarigo</w:t>
      </w:r>
      <w:proofErr w:type="spellEnd"/>
      <w:r>
        <w:t xml:space="preserve"> Monero. The forum is committed to working with Aboriginal people to learn from each other, care for Country and deliver on priorities through the Gunaikurnai Whole of Country Plan. One project, outlined below, is primarily focused on Aboriginal water values.</w:t>
      </w:r>
    </w:p>
    <w:p w14:paraId="24CF99E5" w14:textId="197769C3" w:rsidR="0019266F" w:rsidRDefault="0019266F" w:rsidP="0019266F">
      <w:pPr>
        <w:pStyle w:val="Heading2"/>
      </w:pPr>
      <w:bookmarkStart w:id="62" w:name="_Toc117694677"/>
      <w:r>
        <w:t xml:space="preserve">Supporting Aboriginal </w:t>
      </w:r>
      <w:r w:rsidR="006A05CD">
        <w:t>W</w:t>
      </w:r>
      <w:r>
        <w:t xml:space="preserve">ater </w:t>
      </w:r>
      <w:r w:rsidR="006A05CD">
        <w:t>V</w:t>
      </w:r>
      <w:r>
        <w:t>alues in East Gippsland</w:t>
      </w:r>
      <w:bookmarkEnd w:id="62"/>
      <w:r>
        <w:t xml:space="preserve"> </w:t>
      </w:r>
    </w:p>
    <w:p w14:paraId="15CA29D0" w14:textId="651CF613" w:rsidR="0019266F" w:rsidRDefault="0019266F" w:rsidP="0019266F">
      <w:pPr>
        <w:pStyle w:val="BodyText"/>
        <w:rPr>
          <w:lang w:eastAsia="en-AU"/>
        </w:rPr>
      </w:pPr>
      <w:r>
        <w:rPr>
          <w:lang w:eastAsia="en-AU"/>
        </w:rPr>
        <w:t xml:space="preserve">The East Gippsland IWM Forum process provides the opportunity to acknowledge and develop Aboriginal values for water, to include Aboriginal values in water planning, to support Aboriginal access to water for economic development and to build capacity to increase Aboriginal participation in water management. Each of the project areas </w:t>
      </w:r>
      <w:proofErr w:type="gramStart"/>
      <w:r>
        <w:rPr>
          <w:lang w:eastAsia="en-AU"/>
        </w:rPr>
        <w:t>has the opportunity to</w:t>
      </w:r>
      <w:proofErr w:type="gramEnd"/>
      <w:r>
        <w:rPr>
          <w:lang w:eastAsia="en-AU"/>
        </w:rPr>
        <w:t xml:space="preserve"> incorporate Aboriginal water values in their planning. </w:t>
      </w:r>
    </w:p>
    <w:p w14:paraId="1C79CC50" w14:textId="59B90B5F" w:rsidR="003E7CEB" w:rsidRDefault="0019266F" w:rsidP="003E7CEB">
      <w:pPr>
        <w:pStyle w:val="BodyText"/>
        <w:rPr>
          <w:lang w:eastAsia="en-AU"/>
        </w:rPr>
      </w:pPr>
      <w:r>
        <w:rPr>
          <w:lang w:eastAsia="en-AU"/>
        </w:rPr>
        <w:t xml:space="preserve">The first step in this process is to gain a stronger understanding of Aboriginal cultural values relating to water in the landscape. GLaWAC </w:t>
      </w:r>
      <w:r w:rsidR="00313317">
        <w:rPr>
          <w:lang w:eastAsia="en-AU"/>
        </w:rPr>
        <w:t xml:space="preserve">is </w:t>
      </w:r>
      <w:r>
        <w:rPr>
          <w:lang w:eastAsia="en-AU"/>
        </w:rPr>
        <w:t xml:space="preserve">currently working to gather such information. On Country visits are being undertaken with Community to gather assessments of the cultural values of the waterways, as well as explore and capture the stories relating to the waterways in East Gippsland. The role of the IWM Forum in this process will be to support and provide resources to this important project. Once </w:t>
      </w:r>
      <w:r w:rsidR="00F31836" w:rsidRPr="00F31836">
        <w:rPr>
          <w:lang w:eastAsia="en-AU"/>
        </w:rPr>
        <w:t>there is a sufficient body of knowledge, then IWM activities can</w:t>
      </w:r>
      <w:r w:rsidR="00F31836" w:rsidRPr="00F31836">
        <w:rPr>
          <w:lang w:eastAsia="en-AU"/>
        </w:rPr>
        <w:tab/>
      </w:r>
      <w:r w:rsidR="003E7CEB">
        <w:rPr>
          <w:lang w:eastAsia="en-AU"/>
        </w:rPr>
        <w:t xml:space="preserve">begin to consider Aboriginal water values in project ideas and business-case decisions. </w:t>
      </w:r>
    </w:p>
    <w:p w14:paraId="079FD0F7" w14:textId="77777777" w:rsidR="003E7CEB" w:rsidRDefault="003E7CEB" w:rsidP="003E7CEB">
      <w:pPr>
        <w:pStyle w:val="BodyText"/>
        <w:rPr>
          <w:lang w:eastAsia="en-AU"/>
        </w:rPr>
      </w:pPr>
      <w:r>
        <w:rPr>
          <w:lang w:eastAsia="en-AU"/>
        </w:rPr>
        <w:t xml:space="preserve">The process will utilise existing networks and processes as much as possible, including: </w:t>
      </w:r>
    </w:p>
    <w:p w14:paraId="0AF99ABA" w14:textId="77777777" w:rsidR="003E7CEB" w:rsidRDefault="003E7CEB" w:rsidP="003E7CEB">
      <w:pPr>
        <w:pStyle w:val="BodyText"/>
        <w:numPr>
          <w:ilvl w:val="0"/>
          <w:numId w:val="26"/>
        </w:numPr>
        <w:rPr>
          <w:lang w:eastAsia="en-AU"/>
        </w:rPr>
      </w:pPr>
      <w:r>
        <w:rPr>
          <w:lang w:eastAsia="en-AU"/>
        </w:rPr>
        <w:t xml:space="preserve">the Gunaikurnai Whole of Country Plan </w:t>
      </w:r>
    </w:p>
    <w:p w14:paraId="07B2D187" w14:textId="52F65084" w:rsidR="0019266F" w:rsidRDefault="003E7CEB" w:rsidP="003E7CEB">
      <w:pPr>
        <w:pStyle w:val="BodyText"/>
        <w:numPr>
          <w:ilvl w:val="0"/>
          <w:numId w:val="26"/>
        </w:numPr>
        <w:rPr>
          <w:lang w:eastAsia="en-AU"/>
        </w:rPr>
      </w:pPr>
      <w:r>
        <w:rPr>
          <w:lang w:eastAsia="en-AU"/>
        </w:rPr>
        <w:t>the signed partnership agreement between GLaWAC and the</w:t>
      </w:r>
      <w:r w:rsidR="0025341C">
        <w:rPr>
          <w:lang w:eastAsia="en-AU"/>
        </w:rPr>
        <w:t xml:space="preserve"> </w:t>
      </w:r>
      <w:r w:rsidR="0025341C" w:rsidRPr="0025341C">
        <w:rPr>
          <w:lang w:eastAsia="en-AU"/>
        </w:rPr>
        <w:t>Gippsland Environmental Agencies.</w:t>
      </w:r>
    </w:p>
    <w:p w14:paraId="12C2A5A1" w14:textId="7E8C0779" w:rsidR="0019266F" w:rsidRDefault="00245780" w:rsidP="0019266F">
      <w:pPr>
        <w:pStyle w:val="BodyText"/>
        <w:rPr>
          <w:lang w:eastAsia="en-AU"/>
        </w:rPr>
      </w:pPr>
      <w:r w:rsidRPr="00245780">
        <w:rPr>
          <w:lang w:eastAsia="en-AU"/>
        </w:rPr>
        <w:t>Gunaikurnai Country covers most of Gippsland. There will therefore need to be a co-ordinated approach to this issue with the neighbouring Gippsland IWM Forum area.</w:t>
      </w:r>
    </w:p>
    <w:p w14:paraId="71A49765" w14:textId="5A9855A0" w:rsidR="00245780" w:rsidRDefault="00245780" w:rsidP="001F5EF1">
      <w:pPr>
        <w:pStyle w:val="Heading3"/>
      </w:pPr>
      <w:bookmarkStart w:id="63" w:name="_Toc117694678"/>
      <w:r>
        <w:t xml:space="preserve">Potential </w:t>
      </w:r>
      <w:r w:rsidR="004F4E47">
        <w:t>o</w:t>
      </w:r>
      <w:r>
        <w:t>utcomes</w:t>
      </w:r>
      <w:bookmarkEnd w:id="63"/>
    </w:p>
    <w:p w14:paraId="04B69392" w14:textId="64199F21" w:rsidR="00245780" w:rsidRDefault="00D20F0A" w:rsidP="0019266F">
      <w:pPr>
        <w:pStyle w:val="BodyText"/>
        <w:rPr>
          <w:lang w:eastAsia="en-AU"/>
        </w:rPr>
      </w:pPr>
      <w:r w:rsidRPr="00D20F0A">
        <w:rPr>
          <w:lang w:eastAsia="en-AU"/>
        </w:rPr>
        <w:t>Acknowledgement and enhancement of Aboriginal values for water, including Aboriginal values in water planning, supporting Aboriginal access to water for economic development and building capacity to increase Aboriginal participation in water management.</w:t>
      </w:r>
    </w:p>
    <w:p w14:paraId="5058BF1E" w14:textId="5250E6E4" w:rsidR="0019266F" w:rsidRDefault="0019266F" w:rsidP="001F5EF1">
      <w:pPr>
        <w:pStyle w:val="Heading3"/>
      </w:pPr>
      <w:bookmarkStart w:id="64" w:name="_Toc117694679"/>
      <w:r>
        <w:lastRenderedPageBreak/>
        <w:t>Next steps</w:t>
      </w:r>
      <w:bookmarkEnd w:id="64"/>
      <w:r>
        <w:t xml:space="preserve"> </w:t>
      </w:r>
    </w:p>
    <w:p w14:paraId="279A9BFC" w14:textId="77777777" w:rsidR="001C0544" w:rsidRDefault="0019266F" w:rsidP="0019266F">
      <w:pPr>
        <w:pStyle w:val="ListNumber"/>
        <w:numPr>
          <w:ilvl w:val="0"/>
          <w:numId w:val="27"/>
        </w:numPr>
      </w:pPr>
      <w:r>
        <w:t xml:space="preserve">Support the GLaWAC Aboriginal Water Project to gain a deeper understanding of Aboriginal water values in our landscape. </w:t>
      </w:r>
    </w:p>
    <w:p w14:paraId="0B1B5AB9" w14:textId="77777777" w:rsidR="001C0544" w:rsidRDefault="0019266F" w:rsidP="0019266F">
      <w:pPr>
        <w:pStyle w:val="ListNumber"/>
        <w:numPr>
          <w:ilvl w:val="0"/>
          <w:numId w:val="27"/>
        </w:numPr>
      </w:pPr>
      <w:r>
        <w:t xml:space="preserve">Use the outcomes of the GLaWAC Aboriginal Water Project to build in Aboriginal water values into IWM projects. </w:t>
      </w:r>
    </w:p>
    <w:p w14:paraId="449E9057" w14:textId="6A9FAF77" w:rsidR="00AD32F7" w:rsidRDefault="0019266F" w:rsidP="0019266F">
      <w:pPr>
        <w:pStyle w:val="ListNumber"/>
        <w:numPr>
          <w:ilvl w:val="0"/>
          <w:numId w:val="27"/>
        </w:numPr>
      </w:pPr>
      <w:r>
        <w:t>Co-ordinate with the Gippsland IWM Forum for greater understanding of the mechanism for incorporating Aboriginal consultation and water values into IWM projects.</w:t>
      </w:r>
    </w:p>
    <w:p w14:paraId="2B95D67D" w14:textId="2AF631AD" w:rsidR="003F0D04" w:rsidRDefault="003F0D04" w:rsidP="003F0D04">
      <w:pPr>
        <w:pStyle w:val="CaptionImageorFigure"/>
      </w:pPr>
      <w:r>
        <w:t>Table 2: A summary of key details for the Supporting Aboriginal Water Values in East Gippsland opportunity</w:t>
      </w:r>
    </w:p>
    <w:tbl>
      <w:tblPr>
        <w:tblStyle w:val="TableGrid"/>
        <w:tblW w:w="9638" w:type="dxa"/>
        <w:tblLook w:val="04A0" w:firstRow="1" w:lastRow="0" w:firstColumn="1" w:lastColumn="0" w:noHBand="0" w:noVBand="1"/>
      </w:tblPr>
      <w:tblGrid>
        <w:gridCol w:w="2268"/>
        <w:gridCol w:w="7370"/>
      </w:tblGrid>
      <w:tr w:rsidR="003F0D04" w14:paraId="7466A8FA"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E524D2E" w14:textId="77777777" w:rsidR="003F0D04" w:rsidRPr="003E3DC3" w:rsidRDefault="003F0D04" w:rsidP="00584993">
            <w:pPr>
              <w:pStyle w:val="TableHeadingLeft"/>
              <w:rPr>
                <w:sz w:val="24"/>
                <w:szCs w:val="36"/>
              </w:rPr>
            </w:pPr>
            <w:r w:rsidRPr="003E3DC3">
              <w:rPr>
                <w:sz w:val="24"/>
                <w:szCs w:val="36"/>
              </w:rPr>
              <w:t>Subject</w:t>
            </w:r>
          </w:p>
        </w:tc>
        <w:tc>
          <w:tcPr>
            <w:tcW w:w="7370" w:type="dxa"/>
          </w:tcPr>
          <w:p w14:paraId="2667BA66" w14:textId="77777777" w:rsidR="003F0D04" w:rsidRPr="003E3DC3" w:rsidRDefault="003F0D04"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3F0D04" w14:paraId="21DDBBB5" w14:textId="77777777" w:rsidTr="00584993">
        <w:tc>
          <w:tcPr>
            <w:tcW w:w="2268" w:type="dxa"/>
          </w:tcPr>
          <w:p w14:paraId="216D7B6E" w14:textId="77777777" w:rsidR="003F0D04" w:rsidRPr="003E3DC3" w:rsidRDefault="003F0D04" w:rsidP="00584993">
            <w:pPr>
              <w:pStyle w:val="BodyText"/>
              <w:rPr>
                <w:b/>
                <w:bCs/>
              </w:rPr>
            </w:pPr>
            <w:r w:rsidRPr="003E3DC3">
              <w:rPr>
                <w:b/>
                <w:bCs/>
              </w:rPr>
              <w:t>Status</w:t>
            </w:r>
          </w:p>
        </w:tc>
        <w:tc>
          <w:tcPr>
            <w:tcW w:w="7370" w:type="dxa"/>
          </w:tcPr>
          <w:p w14:paraId="0024E123" w14:textId="77777777" w:rsidR="003F0D04" w:rsidRPr="003E3DC3" w:rsidRDefault="003F0D04" w:rsidP="00584993">
            <w:pPr>
              <w:pStyle w:val="BodyText"/>
            </w:pPr>
            <w:r w:rsidRPr="003A0D11">
              <w:t>Implement</w:t>
            </w:r>
            <w:r>
              <w:t>ation</w:t>
            </w:r>
          </w:p>
        </w:tc>
      </w:tr>
      <w:tr w:rsidR="003F0D04" w14:paraId="0AB32898" w14:textId="77777777" w:rsidTr="00584993">
        <w:tc>
          <w:tcPr>
            <w:tcW w:w="2268" w:type="dxa"/>
          </w:tcPr>
          <w:p w14:paraId="5276C6E0" w14:textId="77777777" w:rsidR="003F0D04" w:rsidRPr="003E3DC3" w:rsidRDefault="003F0D04" w:rsidP="00584993">
            <w:pPr>
              <w:pStyle w:val="BodyText"/>
              <w:rPr>
                <w:b/>
                <w:bCs/>
              </w:rPr>
            </w:pPr>
            <w:r w:rsidRPr="003E3DC3">
              <w:rPr>
                <w:b/>
                <w:bCs/>
              </w:rPr>
              <w:t xml:space="preserve">Lead </w:t>
            </w:r>
            <w:r>
              <w:rPr>
                <w:b/>
                <w:bCs/>
              </w:rPr>
              <w:t>agency</w:t>
            </w:r>
          </w:p>
        </w:tc>
        <w:tc>
          <w:tcPr>
            <w:tcW w:w="7370" w:type="dxa"/>
          </w:tcPr>
          <w:p w14:paraId="31B8697A" w14:textId="77777777" w:rsidR="003F0D04" w:rsidRPr="003E3DC3" w:rsidRDefault="003F0D04" w:rsidP="00584993">
            <w:pPr>
              <w:pStyle w:val="BodyText"/>
            </w:pPr>
            <w:r>
              <w:t>Gunaikurnai Land and Waters Aboriginal Corporation</w:t>
            </w:r>
          </w:p>
        </w:tc>
      </w:tr>
      <w:tr w:rsidR="003F0D04" w14:paraId="6C70D4AB" w14:textId="77777777" w:rsidTr="00584993">
        <w:tc>
          <w:tcPr>
            <w:tcW w:w="2268" w:type="dxa"/>
          </w:tcPr>
          <w:p w14:paraId="1628F656" w14:textId="77777777" w:rsidR="003F0D04" w:rsidRPr="003E3DC3" w:rsidRDefault="003F0D04" w:rsidP="00584993">
            <w:pPr>
              <w:pStyle w:val="BodyText"/>
              <w:rPr>
                <w:b/>
                <w:bCs/>
              </w:rPr>
            </w:pPr>
            <w:r w:rsidRPr="003E3DC3">
              <w:rPr>
                <w:b/>
                <w:bCs/>
              </w:rPr>
              <w:t>Implementation partners</w:t>
            </w:r>
          </w:p>
        </w:tc>
        <w:tc>
          <w:tcPr>
            <w:tcW w:w="7370" w:type="dxa"/>
          </w:tcPr>
          <w:p w14:paraId="3C7EEDAD" w14:textId="77777777" w:rsidR="003F0D04" w:rsidRPr="003E3DC3" w:rsidRDefault="003F0D04" w:rsidP="00584993">
            <w:pPr>
              <w:pStyle w:val="BodyText"/>
            </w:pPr>
            <w:r>
              <w:t xml:space="preserve">East Gippsland </w:t>
            </w:r>
            <w:r w:rsidRPr="00A31DAF">
              <w:t>Catchmen</w:t>
            </w:r>
            <w:r>
              <w:t xml:space="preserve">t </w:t>
            </w:r>
            <w:r w:rsidRPr="00E71BF1">
              <w:t xml:space="preserve">Management Authority, </w:t>
            </w:r>
            <w:r>
              <w:t>East Gippsland Water, East Gippsland Shire Council, Southern Rural Water</w:t>
            </w:r>
          </w:p>
        </w:tc>
      </w:tr>
      <w:tr w:rsidR="003F0D04" w14:paraId="5C63EC1A" w14:textId="77777777" w:rsidTr="00584993">
        <w:tc>
          <w:tcPr>
            <w:tcW w:w="2268" w:type="dxa"/>
          </w:tcPr>
          <w:p w14:paraId="3F9BA79F" w14:textId="77777777" w:rsidR="003F0D04" w:rsidRPr="003E3DC3" w:rsidRDefault="003F0D04" w:rsidP="00584993">
            <w:pPr>
              <w:pStyle w:val="BodyText"/>
              <w:rPr>
                <w:b/>
                <w:bCs/>
              </w:rPr>
            </w:pPr>
            <w:r w:rsidRPr="003E3DC3">
              <w:rPr>
                <w:b/>
                <w:bCs/>
              </w:rPr>
              <w:t>Location</w:t>
            </w:r>
          </w:p>
        </w:tc>
        <w:tc>
          <w:tcPr>
            <w:tcW w:w="7370" w:type="dxa"/>
          </w:tcPr>
          <w:p w14:paraId="517A5035" w14:textId="77777777" w:rsidR="003F0D04" w:rsidRPr="003E3DC3" w:rsidRDefault="003F0D04" w:rsidP="00584993">
            <w:pPr>
              <w:pStyle w:val="BodyText"/>
            </w:pPr>
            <w:r>
              <w:t>East Gippsland</w:t>
            </w:r>
          </w:p>
        </w:tc>
      </w:tr>
      <w:tr w:rsidR="003F0D04" w14:paraId="48BE6119" w14:textId="77777777" w:rsidTr="00584993">
        <w:tc>
          <w:tcPr>
            <w:tcW w:w="2268" w:type="dxa"/>
          </w:tcPr>
          <w:p w14:paraId="00657C0A" w14:textId="77777777" w:rsidR="003F0D04" w:rsidRPr="003E3DC3" w:rsidRDefault="003F0D04" w:rsidP="00584993">
            <w:pPr>
              <w:pStyle w:val="BodyText"/>
              <w:rPr>
                <w:b/>
                <w:bCs/>
              </w:rPr>
            </w:pPr>
            <w:r>
              <w:rPr>
                <w:b/>
                <w:bCs/>
              </w:rPr>
              <w:t>Scale</w:t>
            </w:r>
          </w:p>
        </w:tc>
        <w:tc>
          <w:tcPr>
            <w:tcW w:w="7370" w:type="dxa"/>
          </w:tcPr>
          <w:p w14:paraId="50542FE6" w14:textId="77777777" w:rsidR="003F0D04" w:rsidRDefault="003F0D04" w:rsidP="00584993">
            <w:pPr>
              <w:pStyle w:val="BodyText"/>
            </w:pPr>
            <w:r>
              <w:t>Forum area</w:t>
            </w:r>
          </w:p>
        </w:tc>
      </w:tr>
    </w:tbl>
    <w:p w14:paraId="3D6E5D65" w14:textId="42ED1D35" w:rsidR="005134ED" w:rsidRDefault="00020882" w:rsidP="005134ED">
      <w:pPr>
        <w:pStyle w:val="CaptionImageorFigure"/>
      </w:pPr>
      <w:bookmarkStart w:id="65" w:name="_Hlk116459626"/>
      <w:r>
        <w:t xml:space="preserve">Table </w:t>
      </w:r>
      <w:r w:rsidR="003F0D04">
        <w:t>3</w:t>
      </w:r>
      <w:r>
        <w:t xml:space="preserve">: A summary of the impact that the </w:t>
      </w:r>
      <w:r w:rsidR="003410E4">
        <w:t xml:space="preserve">Supporting Aboriginal Water Values in East Gippsland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7DDC59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C7F57B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C55EFD0"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73A82A96" w14:textId="77777777" w:rsidTr="00B761E1">
        <w:tc>
          <w:tcPr>
            <w:tcW w:w="7354" w:type="dxa"/>
          </w:tcPr>
          <w:p w14:paraId="11F2398E" w14:textId="77777777" w:rsidR="005C53F1" w:rsidRDefault="005C53F1" w:rsidP="00B761E1">
            <w:pPr>
              <w:pStyle w:val="BodyText"/>
              <w:rPr>
                <w:lang w:eastAsia="en-AU"/>
              </w:rPr>
            </w:pPr>
            <w:r w:rsidRPr="002F5B60">
              <w:rPr>
                <w:lang w:eastAsia="en-AU"/>
              </w:rPr>
              <w:t>safe, secure and affordable supplies in a changing future</w:t>
            </w:r>
          </w:p>
        </w:tc>
        <w:tc>
          <w:tcPr>
            <w:tcW w:w="2265" w:type="dxa"/>
          </w:tcPr>
          <w:p w14:paraId="1496AE44" w14:textId="02E5C9A1" w:rsidR="005C53F1" w:rsidRDefault="00F216B9" w:rsidP="00B761E1">
            <w:pPr>
              <w:pStyle w:val="BodyText"/>
              <w:rPr>
                <w:lang w:eastAsia="en-AU"/>
              </w:rPr>
            </w:pPr>
            <w:r>
              <w:t>Low impact</w:t>
            </w:r>
          </w:p>
        </w:tc>
      </w:tr>
      <w:tr w:rsidR="005C53F1" w14:paraId="7B1F2AC6" w14:textId="77777777" w:rsidTr="00B761E1">
        <w:tc>
          <w:tcPr>
            <w:tcW w:w="7354" w:type="dxa"/>
          </w:tcPr>
          <w:p w14:paraId="1576AC10" w14:textId="77777777" w:rsidR="005C53F1" w:rsidRDefault="005C53F1" w:rsidP="00B761E1">
            <w:pPr>
              <w:pStyle w:val="BodyText"/>
              <w:rPr>
                <w:lang w:eastAsia="en-AU"/>
              </w:rPr>
            </w:pPr>
            <w:r w:rsidRPr="002F5B60">
              <w:rPr>
                <w:lang w:eastAsia="en-AU"/>
              </w:rPr>
              <w:t>effective and affordable wastewater systems</w:t>
            </w:r>
          </w:p>
        </w:tc>
        <w:tc>
          <w:tcPr>
            <w:tcW w:w="2265" w:type="dxa"/>
          </w:tcPr>
          <w:p w14:paraId="04B3A720" w14:textId="62699133" w:rsidR="005C53F1" w:rsidRDefault="00F216B9" w:rsidP="00B761E1">
            <w:pPr>
              <w:pStyle w:val="BodyText"/>
              <w:rPr>
                <w:lang w:eastAsia="en-AU"/>
              </w:rPr>
            </w:pPr>
            <w:r>
              <w:t>Low impact</w:t>
            </w:r>
          </w:p>
        </w:tc>
      </w:tr>
      <w:tr w:rsidR="005C53F1" w14:paraId="1FCD0FE1" w14:textId="77777777" w:rsidTr="00B761E1">
        <w:tc>
          <w:tcPr>
            <w:tcW w:w="7354" w:type="dxa"/>
          </w:tcPr>
          <w:p w14:paraId="75B8D7F3" w14:textId="77777777" w:rsidR="005C53F1" w:rsidRDefault="005C53F1" w:rsidP="00B761E1">
            <w:pPr>
              <w:pStyle w:val="BodyText"/>
              <w:rPr>
                <w:lang w:eastAsia="en-AU"/>
              </w:rPr>
            </w:pPr>
            <w:r w:rsidRPr="00450552">
              <w:rPr>
                <w:lang w:eastAsia="en-AU"/>
              </w:rPr>
              <w:t>manage flood risks</w:t>
            </w:r>
          </w:p>
        </w:tc>
        <w:tc>
          <w:tcPr>
            <w:tcW w:w="2265" w:type="dxa"/>
          </w:tcPr>
          <w:p w14:paraId="4F418661" w14:textId="7519D46E" w:rsidR="005C53F1" w:rsidRDefault="00F216B9" w:rsidP="00B761E1">
            <w:pPr>
              <w:pStyle w:val="BodyText"/>
              <w:rPr>
                <w:lang w:eastAsia="en-AU"/>
              </w:rPr>
            </w:pPr>
            <w:r>
              <w:rPr>
                <w:lang w:eastAsia="en-AU"/>
              </w:rPr>
              <w:t>Medium impact</w:t>
            </w:r>
          </w:p>
        </w:tc>
      </w:tr>
      <w:tr w:rsidR="005C53F1" w14:paraId="793D2DBE" w14:textId="77777777" w:rsidTr="00B761E1">
        <w:tc>
          <w:tcPr>
            <w:tcW w:w="7354" w:type="dxa"/>
          </w:tcPr>
          <w:p w14:paraId="18E70002" w14:textId="77777777" w:rsidR="005C53F1" w:rsidRDefault="005C53F1" w:rsidP="00B761E1">
            <w:pPr>
              <w:pStyle w:val="BodyText"/>
              <w:rPr>
                <w:lang w:eastAsia="en-AU"/>
              </w:rPr>
            </w:pPr>
            <w:r w:rsidRPr="00450552">
              <w:rPr>
                <w:lang w:eastAsia="en-AU"/>
              </w:rPr>
              <w:t>healthy and valued waterways and waterbodies</w:t>
            </w:r>
          </w:p>
        </w:tc>
        <w:tc>
          <w:tcPr>
            <w:tcW w:w="2265" w:type="dxa"/>
          </w:tcPr>
          <w:p w14:paraId="70F81B53" w14:textId="398197C5" w:rsidR="005C53F1" w:rsidRDefault="00640F0F" w:rsidP="00B761E1">
            <w:pPr>
              <w:pStyle w:val="BodyText"/>
              <w:rPr>
                <w:lang w:eastAsia="en-AU"/>
              </w:rPr>
            </w:pPr>
            <w:r>
              <w:t xml:space="preserve">High </w:t>
            </w:r>
            <w:r w:rsidR="00DB0987">
              <w:t>i</w:t>
            </w:r>
            <w:r w:rsidR="005C53F1" w:rsidRPr="00E92304">
              <w:t>mpact</w:t>
            </w:r>
          </w:p>
        </w:tc>
      </w:tr>
      <w:tr w:rsidR="005C53F1" w14:paraId="02D4D09A" w14:textId="77777777" w:rsidTr="00B761E1">
        <w:tc>
          <w:tcPr>
            <w:tcW w:w="7354" w:type="dxa"/>
          </w:tcPr>
          <w:p w14:paraId="3B10D61F" w14:textId="77777777" w:rsidR="005C53F1" w:rsidRDefault="005C53F1" w:rsidP="00B761E1">
            <w:pPr>
              <w:pStyle w:val="BodyText"/>
            </w:pPr>
            <w:r w:rsidRPr="00450552">
              <w:t>healthy and valued landscapes</w:t>
            </w:r>
          </w:p>
        </w:tc>
        <w:tc>
          <w:tcPr>
            <w:tcW w:w="2265" w:type="dxa"/>
          </w:tcPr>
          <w:p w14:paraId="0FF34618" w14:textId="0A3AA6B3" w:rsidR="005C53F1" w:rsidRDefault="00640F0F" w:rsidP="00E64BEE">
            <w:pPr>
              <w:pStyle w:val="BodyText"/>
            </w:pPr>
            <w:r>
              <w:t>Medium impact</w:t>
            </w:r>
          </w:p>
        </w:tc>
      </w:tr>
      <w:tr w:rsidR="005C53F1" w14:paraId="3F23B235" w14:textId="77777777" w:rsidTr="00B761E1">
        <w:tc>
          <w:tcPr>
            <w:tcW w:w="7354" w:type="dxa"/>
          </w:tcPr>
          <w:p w14:paraId="39535B2B" w14:textId="5473FF25" w:rsidR="005C53F1" w:rsidRDefault="005C53F1" w:rsidP="00B761E1">
            <w:pPr>
              <w:pStyle w:val="BodyText"/>
              <w:rPr>
                <w:lang w:eastAsia="en-AU"/>
              </w:rPr>
            </w:pPr>
            <w:r w:rsidRPr="00450552">
              <w:rPr>
                <w:lang w:eastAsia="en-AU"/>
              </w:rPr>
              <w:t xml:space="preserve">Traditional Owner </w:t>
            </w:r>
            <w:r w:rsidR="00214D12">
              <w:rPr>
                <w:lang w:eastAsia="en-AU"/>
              </w:rPr>
              <w:t>values, opportunities</w:t>
            </w:r>
            <w:r w:rsidR="007C51E7">
              <w:rPr>
                <w:lang w:eastAsia="en-AU"/>
              </w:rPr>
              <w:t>,</w:t>
            </w:r>
            <w:r w:rsidR="00214D12">
              <w:rPr>
                <w:lang w:eastAsia="en-AU"/>
              </w:rPr>
              <w:t xml:space="preserve"> and inclusion</w:t>
            </w:r>
          </w:p>
        </w:tc>
        <w:tc>
          <w:tcPr>
            <w:tcW w:w="2265" w:type="dxa"/>
          </w:tcPr>
          <w:p w14:paraId="4DDD5571" w14:textId="554138B3" w:rsidR="005C53F1" w:rsidRDefault="00DB0987" w:rsidP="00B761E1">
            <w:pPr>
              <w:pStyle w:val="BodyText"/>
              <w:rPr>
                <w:lang w:eastAsia="en-AU"/>
              </w:rPr>
            </w:pPr>
            <w:r>
              <w:t>High impact</w:t>
            </w:r>
          </w:p>
        </w:tc>
      </w:tr>
      <w:tr w:rsidR="00970652" w14:paraId="1CC8B28D" w14:textId="77777777" w:rsidTr="00B761E1">
        <w:tc>
          <w:tcPr>
            <w:tcW w:w="7354" w:type="dxa"/>
          </w:tcPr>
          <w:p w14:paraId="3F5001BD" w14:textId="1D866302" w:rsidR="00970652" w:rsidRPr="00450552" w:rsidRDefault="0092372E" w:rsidP="00B761E1">
            <w:pPr>
              <w:pStyle w:val="BodyText"/>
              <w:rPr>
                <w:lang w:eastAsia="en-AU"/>
              </w:rPr>
            </w:pPr>
            <w:r>
              <w:rPr>
                <w:lang w:eastAsia="en-AU"/>
              </w:rPr>
              <w:lastRenderedPageBreak/>
              <w:t>c</w:t>
            </w:r>
            <w:r w:rsidR="007C51E7">
              <w:rPr>
                <w:lang w:eastAsia="en-AU"/>
              </w:rPr>
              <w:t>ommunity values reflected in place-based planning</w:t>
            </w:r>
          </w:p>
        </w:tc>
        <w:tc>
          <w:tcPr>
            <w:tcW w:w="2265" w:type="dxa"/>
          </w:tcPr>
          <w:p w14:paraId="7B5F9449" w14:textId="1434510D" w:rsidR="00970652" w:rsidRPr="00E92304" w:rsidRDefault="00DB0987" w:rsidP="00B761E1">
            <w:pPr>
              <w:pStyle w:val="BodyText"/>
            </w:pPr>
            <w:r>
              <w:t>High impact</w:t>
            </w:r>
          </w:p>
        </w:tc>
      </w:tr>
      <w:tr w:rsidR="005C53F1" w14:paraId="139C7390" w14:textId="77777777" w:rsidTr="00B761E1">
        <w:tc>
          <w:tcPr>
            <w:tcW w:w="7354" w:type="dxa"/>
          </w:tcPr>
          <w:p w14:paraId="57787325" w14:textId="77777777" w:rsidR="005C53F1" w:rsidRDefault="005C53F1" w:rsidP="00B761E1">
            <w:pPr>
              <w:pStyle w:val="BodyText"/>
              <w:rPr>
                <w:lang w:eastAsia="en-AU"/>
              </w:rPr>
            </w:pPr>
            <w:r w:rsidRPr="00450552">
              <w:rPr>
                <w:lang w:eastAsia="en-AU"/>
              </w:rPr>
              <w:t>jobs, economic opportunity and innovation</w:t>
            </w:r>
          </w:p>
        </w:tc>
        <w:tc>
          <w:tcPr>
            <w:tcW w:w="2265" w:type="dxa"/>
          </w:tcPr>
          <w:p w14:paraId="42E62EC1" w14:textId="3C79CCC3" w:rsidR="005C53F1" w:rsidRDefault="005C53F1" w:rsidP="00B761E1">
            <w:pPr>
              <w:pStyle w:val="BodyText"/>
              <w:rPr>
                <w:lang w:eastAsia="en-AU"/>
              </w:rPr>
            </w:pPr>
            <w:r w:rsidRPr="00E92304">
              <w:t>Impact</w:t>
            </w:r>
          </w:p>
        </w:tc>
      </w:tr>
    </w:tbl>
    <w:p w14:paraId="4152AA64" w14:textId="77777777" w:rsidR="002721F3" w:rsidRDefault="002721F3" w:rsidP="005027B5">
      <w:pPr>
        <w:pStyle w:val="BodyText"/>
      </w:pPr>
      <w:bookmarkStart w:id="66" w:name="_Toc105599799"/>
      <w:bookmarkEnd w:id="65"/>
    </w:p>
    <w:p w14:paraId="3F3A49D0" w14:textId="411F094B" w:rsidR="002721F3" w:rsidRDefault="002721F3" w:rsidP="007A21C2">
      <w:pPr>
        <w:pStyle w:val="BodyText"/>
      </w:pPr>
    </w:p>
    <w:p w14:paraId="4575A71A" w14:textId="1B5FA499" w:rsidR="00505943" w:rsidRPr="00EA501D" w:rsidRDefault="00505943" w:rsidP="007101DF">
      <w:pPr>
        <w:pStyle w:val="Heading1TopofPage"/>
        <w:framePr w:wrap="around"/>
      </w:pPr>
      <w:bookmarkStart w:id="67" w:name="_Toc117694680"/>
      <w:r w:rsidRPr="00EA501D">
        <w:lastRenderedPageBreak/>
        <w:t>Improving water management in our townships</w:t>
      </w:r>
      <w:bookmarkEnd w:id="67"/>
    </w:p>
    <w:p w14:paraId="31092151" w14:textId="0E2D6975" w:rsidR="00505943" w:rsidRDefault="002337B5" w:rsidP="002337B5">
      <w:pPr>
        <w:pStyle w:val="IntroFeatureText"/>
      </w:pPr>
      <w:r>
        <w:t>East Gippsland’s population and economy are both growing. The projects within this theme aim to enable climate change adaptation and water-wise growth through water- sensitive and resilient planning, building and development, and the development and implementation of localised IWM plans. They also explore opportunities to identify more diverse water sources, match water sources of different qualities to uses where they are fit-for-purpose and make better use of drinking-quality supplies.</w:t>
      </w:r>
    </w:p>
    <w:p w14:paraId="3517985C" w14:textId="6A529BE7" w:rsidR="002337B5" w:rsidRDefault="00614CB5" w:rsidP="00517829">
      <w:pPr>
        <w:pStyle w:val="Heading2"/>
      </w:pPr>
      <w:bookmarkStart w:id="68" w:name="_Toc117694681"/>
      <w:r>
        <w:t xml:space="preserve">Supporting </w:t>
      </w:r>
      <w:r w:rsidR="006A05CD">
        <w:t>C</w:t>
      </w:r>
      <w:r>
        <w:t xml:space="preserve">ommunities to </w:t>
      </w:r>
      <w:r w:rsidR="006A05CD">
        <w:t>A</w:t>
      </w:r>
      <w:r>
        <w:t xml:space="preserve">chieve </w:t>
      </w:r>
      <w:r w:rsidR="006A05CD">
        <w:t>T</w:t>
      </w:r>
      <w:r>
        <w:t xml:space="preserve">heir </w:t>
      </w:r>
      <w:r w:rsidR="006A05CD">
        <w:t>O</w:t>
      </w:r>
      <w:r>
        <w:t>bjectives</w:t>
      </w:r>
      <w:r w:rsidR="006A05CD">
        <w:t xml:space="preserve"> A</w:t>
      </w:r>
      <w:r w:rsidR="004F4E47">
        <w:t>round</w:t>
      </w:r>
      <w:r w:rsidR="006A05CD">
        <w:t xml:space="preserve"> W</w:t>
      </w:r>
      <w:r w:rsidR="004F4E47">
        <w:t>ater</w:t>
      </w:r>
      <w:bookmarkEnd w:id="68"/>
    </w:p>
    <w:p w14:paraId="7A18214D" w14:textId="77777777" w:rsidR="00B84C68" w:rsidRDefault="00B84C68" w:rsidP="00B84C68">
      <w:pPr>
        <w:pStyle w:val="BodyText"/>
        <w:rPr>
          <w:lang w:eastAsia="en-AU"/>
        </w:rPr>
      </w:pPr>
      <w:r>
        <w:rPr>
          <w:lang w:eastAsia="en-AU"/>
        </w:rPr>
        <w:t xml:space="preserve">Following the 2019-20 bushfires, local community recovery committees (CRCs) were formed to keep local voices, know- how and expertise front and centre during recovery planning and delivery. This initiative is overseen by Bushfire Recovery Victoria. There are 10 CRCs in East Gippsland: </w:t>
      </w:r>
    </w:p>
    <w:p w14:paraId="504FF616" w14:textId="77777777" w:rsidR="00697C5D" w:rsidRDefault="00B84C68" w:rsidP="00B84C68">
      <w:pPr>
        <w:pStyle w:val="BodyText"/>
        <w:numPr>
          <w:ilvl w:val="0"/>
          <w:numId w:val="28"/>
        </w:numPr>
        <w:rPr>
          <w:lang w:eastAsia="en-AU"/>
        </w:rPr>
      </w:pPr>
      <w:r>
        <w:rPr>
          <w:lang w:eastAsia="en-AU"/>
        </w:rPr>
        <w:t xml:space="preserve">Bruthen and District CRC </w:t>
      </w:r>
    </w:p>
    <w:p w14:paraId="75828091" w14:textId="0C811D5B" w:rsidR="00517829" w:rsidRDefault="00B84C68" w:rsidP="00B84C68">
      <w:pPr>
        <w:pStyle w:val="BodyText"/>
        <w:numPr>
          <w:ilvl w:val="0"/>
          <w:numId w:val="28"/>
        </w:numPr>
        <w:rPr>
          <w:lang w:eastAsia="en-AU"/>
        </w:rPr>
      </w:pPr>
      <w:r>
        <w:rPr>
          <w:lang w:eastAsia="en-AU"/>
        </w:rPr>
        <w:t>Buchan, Gelantipy and Districts Renewal Association Incorporated</w:t>
      </w:r>
    </w:p>
    <w:p w14:paraId="65A5951D" w14:textId="77777777" w:rsidR="00697C5D" w:rsidRDefault="00697C5D" w:rsidP="00697C5D">
      <w:pPr>
        <w:pStyle w:val="BodyText"/>
        <w:numPr>
          <w:ilvl w:val="0"/>
          <w:numId w:val="28"/>
        </w:numPr>
        <w:rPr>
          <w:lang w:eastAsia="en-AU"/>
        </w:rPr>
      </w:pPr>
      <w:proofErr w:type="spellStart"/>
      <w:r>
        <w:rPr>
          <w:lang w:eastAsia="en-AU"/>
        </w:rPr>
        <w:t>Cann</w:t>
      </w:r>
      <w:proofErr w:type="spellEnd"/>
      <w:r>
        <w:rPr>
          <w:lang w:eastAsia="en-AU"/>
        </w:rPr>
        <w:t xml:space="preserve"> Valley District Reference Group </w:t>
      </w:r>
    </w:p>
    <w:p w14:paraId="1C565F97" w14:textId="77777777" w:rsidR="00697C5D" w:rsidRDefault="00697C5D" w:rsidP="00697C5D">
      <w:pPr>
        <w:pStyle w:val="BodyText"/>
        <w:numPr>
          <w:ilvl w:val="0"/>
          <w:numId w:val="28"/>
        </w:numPr>
        <w:rPr>
          <w:lang w:eastAsia="en-AU"/>
        </w:rPr>
      </w:pPr>
      <w:r>
        <w:rPr>
          <w:lang w:eastAsia="en-AU"/>
        </w:rPr>
        <w:t xml:space="preserve">Clifton Creek Community Recovery Team </w:t>
      </w:r>
    </w:p>
    <w:p w14:paraId="389DE678" w14:textId="77777777" w:rsidR="00697C5D" w:rsidRDefault="00697C5D" w:rsidP="00697C5D">
      <w:pPr>
        <w:pStyle w:val="BodyText"/>
        <w:numPr>
          <w:ilvl w:val="0"/>
          <w:numId w:val="28"/>
        </w:numPr>
        <w:rPr>
          <w:lang w:eastAsia="en-AU"/>
        </w:rPr>
      </w:pPr>
      <w:proofErr w:type="spellStart"/>
      <w:r>
        <w:rPr>
          <w:lang w:eastAsia="en-AU"/>
        </w:rPr>
        <w:t>Errinundra</w:t>
      </w:r>
      <w:proofErr w:type="spellEnd"/>
      <w:r>
        <w:rPr>
          <w:lang w:eastAsia="en-AU"/>
        </w:rPr>
        <w:t xml:space="preserve"> to Snowy CRC </w:t>
      </w:r>
    </w:p>
    <w:p w14:paraId="1C9F4F6E" w14:textId="77777777" w:rsidR="00697C5D" w:rsidRDefault="00697C5D" w:rsidP="00697C5D">
      <w:pPr>
        <w:pStyle w:val="BodyText"/>
        <w:numPr>
          <w:ilvl w:val="0"/>
          <w:numId w:val="28"/>
        </w:numPr>
        <w:rPr>
          <w:lang w:eastAsia="en-AU"/>
        </w:rPr>
      </w:pPr>
      <w:r>
        <w:rPr>
          <w:lang w:eastAsia="en-AU"/>
        </w:rPr>
        <w:t xml:space="preserve">Mallacoota and District Recovery Association </w:t>
      </w:r>
    </w:p>
    <w:p w14:paraId="26B6ED87" w14:textId="77777777" w:rsidR="00697C5D" w:rsidRDefault="00697C5D" w:rsidP="00697C5D">
      <w:pPr>
        <w:pStyle w:val="BodyText"/>
        <w:numPr>
          <w:ilvl w:val="0"/>
          <w:numId w:val="28"/>
        </w:numPr>
        <w:rPr>
          <w:lang w:eastAsia="en-AU"/>
        </w:rPr>
      </w:pPr>
      <w:r>
        <w:rPr>
          <w:lang w:eastAsia="en-AU"/>
        </w:rPr>
        <w:t xml:space="preserve">Omeo Region Community Recovery Association </w:t>
      </w:r>
    </w:p>
    <w:p w14:paraId="52C32138" w14:textId="1F0DA8A6" w:rsidR="00697C5D" w:rsidRDefault="00697C5D" w:rsidP="00697C5D">
      <w:pPr>
        <w:pStyle w:val="BodyText"/>
        <w:numPr>
          <w:ilvl w:val="0"/>
          <w:numId w:val="28"/>
        </w:numPr>
        <w:rPr>
          <w:lang w:eastAsia="en-AU"/>
        </w:rPr>
      </w:pPr>
      <w:r>
        <w:rPr>
          <w:lang w:eastAsia="en-AU"/>
        </w:rPr>
        <w:t xml:space="preserve">Orbost District Community Recovery and Transition Committee </w:t>
      </w:r>
    </w:p>
    <w:p w14:paraId="22DE3EA2" w14:textId="77777777" w:rsidR="00697C5D" w:rsidRDefault="00697C5D" w:rsidP="00697C5D">
      <w:pPr>
        <w:pStyle w:val="BodyText"/>
        <w:numPr>
          <w:ilvl w:val="0"/>
          <w:numId w:val="28"/>
        </w:numPr>
        <w:rPr>
          <w:lang w:eastAsia="en-AU"/>
        </w:rPr>
      </w:pPr>
      <w:r>
        <w:rPr>
          <w:lang w:eastAsia="en-AU"/>
        </w:rPr>
        <w:t xml:space="preserve">Sarsfield Community Association </w:t>
      </w:r>
    </w:p>
    <w:p w14:paraId="431585CC" w14:textId="77777777" w:rsidR="00697C5D" w:rsidRDefault="00697C5D" w:rsidP="00697C5D">
      <w:pPr>
        <w:pStyle w:val="BodyText"/>
        <w:numPr>
          <w:ilvl w:val="0"/>
          <w:numId w:val="28"/>
        </w:numPr>
        <w:rPr>
          <w:lang w:eastAsia="en-AU"/>
        </w:rPr>
      </w:pPr>
      <w:r>
        <w:rPr>
          <w:lang w:eastAsia="en-AU"/>
        </w:rPr>
        <w:t xml:space="preserve">Wairewa CRC. </w:t>
      </w:r>
    </w:p>
    <w:p w14:paraId="7994B587" w14:textId="6C98FA94" w:rsidR="00697C5D" w:rsidRDefault="003F0D04" w:rsidP="00697C5D">
      <w:pPr>
        <w:pStyle w:val="BodyText"/>
        <w:rPr>
          <w:lang w:eastAsia="en-AU"/>
        </w:rPr>
      </w:pPr>
      <w:r w:rsidRPr="003F0D04">
        <w:rPr>
          <w:lang w:eastAsia="en-AU"/>
        </w:rPr>
        <w:t>Taking this place-based, community-led approach will ensure projects, grants and support programs developed over the coming months and years will be the right fit for their communities. These will necessarily involve the water cycle, from revegetating burnt riparian areas to incorporating water sensitive urban design (WSUD) into rebuilding work. Forum members are ready to provide IWM support to committees and other community-led organisations doing similar work as opportunities arise.</w:t>
      </w:r>
    </w:p>
    <w:p w14:paraId="14B692CF" w14:textId="4790F4A8" w:rsidR="003F0D04" w:rsidRDefault="003F0D04" w:rsidP="003F0D04">
      <w:pPr>
        <w:pStyle w:val="CaptionImageorFigure"/>
      </w:pPr>
      <w:bookmarkStart w:id="69" w:name="_Hlk116460360"/>
      <w:r>
        <w:lastRenderedPageBreak/>
        <w:t xml:space="preserve">Table </w:t>
      </w:r>
      <w:r w:rsidR="00BB1A2D">
        <w:t>4</w:t>
      </w:r>
      <w:r>
        <w:t xml:space="preserve">: A summary of key details for the </w:t>
      </w:r>
      <w:r w:rsidR="00260A07" w:rsidRPr="00260A07">
        <w:t xml:space="preserve">Supporting </w:t>
      </w:r>
      <w:r w:rsidR="006A05CD">
        <w:t>C</w:t>
      </w:r>
      <w:r w:rsidR="00260A07" w:rsidRPr="00260A07">
        <w:t xml:space="preserve">ommunities to </w:t>
      </w:r>
      <w:r w:rsidR="006A05CD">
        <w:t>A</w:t>
      </w:r>
      <w:r w:rsidR="00260A07" w:rsidRPr="00260A07">
        <w:t xml:space="preserve">chieve </w:t>
      </w:r>
      <w:r w:rsidR="006A05CD">
        <w:t>T</w:t>
      </w:r>
      <w:r w:rsidR="00260A07" w:rsidRPr="00260A07">
        <w:t xml:space="preserve">heir </w:t>
      </w:r>
      <w:r w:rsidR="006A05CD">
        <w:t>O</w:t>
      </w:r>
      <w:r w:rsidR="00260A07" w:rsidRPr="00260A07">
        <w:t xml:space="preserve">bjectives </w:t>
      </w:r>
      <w:r w:rsidR="006A05CD">
        <w:t>A</w:t>
      </w:r>
      <w:r w:rsidR="00260A07" w:rsidRPr="00260A07">
        <w:t xml:space="preserve">round </w:t>
      </w:r>
      <w:r w:rsidR="006A05CD">
        <w:t>W</w:t>
      </w:r>
      <w:r w:rsidR="00260A07" w:rsidRPr="00260A07">
        <w:t>ater</w:t>
      </w:r>
      <w:r>
        <w:t xml:space="preserve"> opportunity</w:t>
      </w:r>
    </w:p>
    <w:tbl>
      <w:tblPr>
        <w:tblStyle w:val="TableGrid"/>
        <w:tblW w:w="9638" w:type="dxa"/>
        <w:tblLook w:val="04A0" w:firstRow="1" w:lastRow="0" w:firstColumn="1" w:lastColumn="0" w:noHBand="0" w:noVBand="1"/>
      </w:tblPr>
      <w:tblGrid>
        <w:gridCol w:w="2268"/>
        <w:gridCol w:w="7370"/>
      </w:tblGrid>
      <w:tr w:rsidR="003F0D04" w14:paraId="778E9351"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B2ACB5F" w14:textId="77777777" w:rsidR="003F0D04" w:rsidRPr="003E3DC3" w:rsidRDefault="003F0D04" w:rsidP="00584993">
            <w:pPr>
              <w:pStyle w:val="TableHeadingLeft"/>
              <w:rPr>
                <w:sz w:val="24"/>
                <w:szCs w:val="36"/>
              </w:rPr>
            </w:pPr>
            <w:r w:rsidRPr="003E3DC3">
              <w:rPr>
                <w:sz w:val="24"/>
                <w:szCs w:val="36"/>
              </w:rPr>
              <w:t>Subject</w:t>
            </w:r>
          </w:p>
        </w:tc>
        <w:tc>
          <w:tcPr>
            <w:tcW w:w="7370" w:type="dxa"/>
          </w:tcPr>
          <w:p w14:paraId="73C8C085" w14:textId="77777777" w:rsidR="003F0D04" w:rsidRPr="003E3DC3" w:rsidRDefault="003F0D04"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3F0D04" w14:paraId="0ABAB278" w14:textId="77777777" w:rsidTr="00584993">
        <w:tc>
          <w:tcPr>
            <w:tcW w:w="2268" w:type="dxa"/>
          </w:tcPr>
          <w:p w14:paraId="33B684EF" w14:textId="77777777" w:rsidR="003F0D04" w:rsidRPr="003E3DC3" w:rsidRDefault="003F0D04" w:rsidP="00584993">
            <w:pPr>
              <w:pStyle w:val="BodyText"/>
              <w:rPr>
                <w:b/>
                <w:bCs/>
              </w:rPr>
            </w:pPr>
            <w:r w:rsidRPr="003E3DC3">
              <w:rPr>
                <w:b/>
                <w:bCs/>
              </w:rPr>
              <w:t>Status</w:t>
            </w:r>
          </w:p>
        </w:tc>
        <w:tc>
          <w:tcPr>
            <w:tcW w:w="7370" w:type="dxa"/>
          </w:tcPr>
          <w:p w14:paraId="7C169E0F" w14:textId="7AF7B024" w:rsidR="003F0D04" w:rsidRPr="003E3DC3" w:rsidRDefault="003F0D04" w:rsidP="00584993">
            <w:pPr>
              <w:pStyle w:val="BodyText"/>
            </w:pPr>
            <w:r w:rsidRPr="003A0D11">
              <w:t>I</w:t>
            </w:r>
            <w:r w:rsidR="00BB1A2D">
              <w:t>dentified</w:t>
            </w:r>
          </w:p>
        </w:tc>
      </w:tr>
      <w:tr w:rsidR="003F0D04" w14:paraId="4A685651" w14:textId="77777777" w:rsidTr="00584993">
        <w:tc>
          <w:tcPr>
            <w:tcW w:w="2268" w:type="dxa"/>
          </w:tcPr>
          <w:p w14:paraId="375D5360" w14:textId="77777777" w:rsidR="003F0D04" w:rsidRPr="003E3DC3" w:rsidRDefault="003F0D04" w:rsidP="00584993">
            <w:pPr>
              <w:pStyle w:val="BodyText"/>
              <w:rPr>
                <w:b/>
                <w:bCs/>
              </w:rPr>
            </w:pPr>
            <w:r w:rsidRPr="003E3DC3">
              <w:rPr>
                <w:b/>
                <w:bCs/>
              </w:rPr>
              <w:t xml:space="preserve">Lead </w:t>
            </w:r>
            <w:r>
              <w:rPr>
                <w:b/>
                <w:bCs/>
              </w:rPr>
              <w:t>agency</w:t>
            </w:r>
          </w:p>
        </w:tc>
        <w:tc>
          <w:tcPr>
            <w:tcW w:w="7370" w:type="dxa"/>
          </w:tcPr>
          <w:p w14:paraId="1254630B" w14:textId="78296E78" w:rsidR="003F0D04" w:rsidRPr="003E3DC3" w:rsidRDefault="00BB1A2D" w:rsidP="00584993">
            <w:pPr>
              <w:pStyle w:val="BodyText"/>
            </w:pPr>
            <w:r>
              <w:t>Determined by each individual opportunity</w:t>
            </w:r>
          </w:p>
        </w:tc>
      </w:tr>
      <w:tr w:rsidR="003F0D04" w14:paraId="4A10C5C7" w14:textId="77777777" w:rsidTr="00584993">
        <w:tc>
          <w:tcPr>
            <w:tcW w:w="2268" w:type="dxa"/>
          </w:tcPr>
          <w:p w14:paraId="1FC4398B" w14:textId="77777777" w:rsidR="003F0D04" w:rsidRPr="003E3DC3" w:rsidRDefault="003F0D04" w:rsidP="00584993">
            <w:pPr>
              <w:pStyle w:val="BodyText"/>
              <w:rPr>
                <w:b/>
                <w:bCs/>
              </w:rPr>
            </w:pPr>
            <w:r w:rsidRPr="003E3DC3">
              <w:rPr>
                <w:b/>
                <w:bCs/>
              </w:rPr>
              <w:t>Implementation partners</w:t>
            </w:r>
          </w:p>
        </w:tc>
        <w:tc>
          <w:tcPr>
            <w:tcW w:w="7370" w:type="dxa"/>
          </w:tcPr>
          <w:p w14:paraId="45E05459" w14:textId="281BCD39" w:rsidR="003F0D04" w:rsidRPr="003E3DC3" w:rsidRDefault="00BB1A2D" w:rsidP="00584993">
            <w:pPr>
              <w:pStyle w:val="BodyText"/>
            </w:pPr>
            <w:r>
              <w:t>Community Recovery Committees, Bushfire Recovery Victoria, DELWP, East Gippsland Water, community groups</w:t>
            </w:r>
          </w:p>
        </w:tc>
      </w:tr>
      <w:tr w:rsidR="003F0D04" w14:paraId="6C94C01C" w14:textId="77777777" w:rsidTr="00584993">
        <w:tc>
          <w:tcPr>
            <w:tcW w:w="2268" w:type="dxa"/>
          </w:tcPr>
          <w:p w14:paraId="00804F45" w14:textId="77777777" w:rsidR="003F0D04" w:rsidRPr="003E3DC3" w:rsidRDefault="003F0D04" w:rsidP="00584993">
            <w:pPr>
              <w:pStyle w:val="BodyText"/>
              <w:rPr>
                <w:b/>
                <w:bCs/>
              </w:rPr>
            </w:pPr>
            <w:r w:rsidRPr="003E3DC3">
              <w:rPr>
                <w:b/>
                <w:bCs/>
              </w:rPr>
              <w:t>Location</w:t>
            </w:r>
          </w:p>
        </w:tc>
        <w:tc>
          <w:tcPr>
            <w:tcW w:w="7370" w:type="dxa"/>
          </w:tcPr>
          <w:p w14:paraId="556DB3BA" w14:textId="77777777" w:rsidR="003F0D04" w:rsidRPr="003E3DC3" w:rsidRDefault="003F0D04" w:rsidP="00584993">
            <w:pPr>
              <w:pStyle w:val="BodyText"/>
            </w:pPr>
            <w:r>
              <w:t>East Gippsland</w:t>
            </w:r>
          </w:p>
        </w:tc>
      </w:tr>
      <w:tr w:rsidR="003F0D04" w14:paraId="08D8EDFC" w14:textId="77777777" w:rsidTr="00584993">
        <w:tc>
          <w:tcPr>
            <w:tcW w:w="2268" w:type="dxa"/>
          </w:tcPr>
          <w:p w14:paraId="219AD9CD" w14:textId="77777777" w:rsidR="003F0D04" w:rsidRPr="003E3DC3" w:rsidRDefault="003F0D04" w:rsidP="00584993">
            <w:pPr>
              <w:pStyle w:val="BodyText"/>
              <w:rPr>
                <w:b/>
                <w:bCs/>
              </w:rPr>
            </w:pPr>
            <w:r>
              <w:rPr>
                <w:b/>
                <w:bCs/>
              </w:rPr>
              <w:t>Scale</w:t>
            </w:r>
          </w:p>
        </w:tc>
        <w:tc>
          <w:tcPr>
            <w:tcW w:w="7370" w:type="dxa"/>
          </w:tcPr>
          <w:p w14:paraId="4CA2490A" w14:textId="77777777" w:rsidR="003F0D04" w:rsidRDefault="003F0D04" w:rsidP="00584993">
            <w:pPr>
              <w:pStyle w:val="BodyText"/>
            </w:pPr>
            <w:r>
              <w:t>Forum area</w:t>
            </w:r>
          </w:p>
        </w:tc>
      </w:tr>
    </w:tbl>
    <w:p w14:paraId="4CAB9422" w14:textId="7717E712" w:rsidR="003F0D04" w:rsidRDefault="003F0D04" w:rsidP="003F0D04">
      <w:pPr>
        <w:pStyle w:val="CaptionImageorFigure"/>
      </w:pPr>
      <w:r>
        <w:t xml:space="preserve">Table </w:t>
      </w:r>
      <w:r w:rsidR="00BB1A2D">
        <w:t>5</w:t>
      </w:r>
      <w:r>
        <w:t xml:space="preserve">: A summary of the impact that the </w:t>
      </w:r>
      <w:r w:rsidR="00260A07" w:rsidRPr="00260A07">
        <w:t xml:space="preserve">Supporting </w:t>
      </w:r>
      <w:r w:rsidR="006A05CD">
        <w:t>C</w:t>
      </w:r>
      <w:r w:rsidR="00260A07" w:rsidRPr="00260A07">
        <w:t xml:space="preserve">ommunities to </w:t>
      </w:r>
      <w:r w:rsidR="00122CA5">
        <w:t>A</w:t>
      </w:r>
      <w:r w:rsidR="00260A07" w:rsidRPr="00260A07">
        <w:t xml:space="preserve">chieve </w:t>
      </w:r>
      <w:r w:rsidR="00122CA5">
        <w:t>T</w:t>
      </w:r>
      <w:r w:rsidR="00260A07" w:rsidRPr="00260A07">
        <w:t xml:space="preserve">heir </w:t>
      </w:r>
      <w:r w:rsidR="00122CA5">
        <w:t>O</w:t>
      </w:r>
      <w:r w:rsidR="00260A07" w:rsidRPr="00260A07">
        <w:t xml:space="preserve">bjectives </w:t>
      </w:r>
      <w:r w:rsidR="00122CA5">
        <w:t>A</w:t>
      </w:r>
      <w:r w:rsidR="00260A07" w:rsidRPr="00260A07">
        <w:t xml:space="preserve">round </w:t>
      </w:r>
      <w:r w:rsidR="006C7F3B">
        <w:t>W</w:t>
      </w:r>
      <w:r w:rsidR="00260A07" w:rsidRPr="00260A07">
        <w:t>ater</w:t>
      </w:r>
      <w:r w:rsidR="00260A07">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3F0D04" w14:paraId="0CBF3993"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6D5EC5D9" w14:textId="77777777" w:rsidR="003F0D04" w:rsidRPr="003E3DC3" w:rsidRDefault="003F0D04" w:rsidP="00584993">
            <w:pPr>
              <w:pStyle w:val="TableHeadingLeft"/>
              <w:rPr>
                <w:sz w:val="24"/>
                <w:szCs w:val="36"/>
              </w:rPr>
            </w:pPr>
            <w:r w:rsidRPr="003E3DC3">
              <w:rPr>
                <w:sz w:val="24"/>
                <w:szCs w:val="36"/>
              </w:rPr>
              <w:t>IWM outcome</w:t>
            </w:r>
          </w:p>
        </w:tc>
        <w:tc>
          <w:tcPr>
            <w:tcW w:w="2265" w:type="dxa"/>
          </w:tcPr>
          <w:p w14:paraId="67D90C71" w14:textId="77777777" w:rsidR="003F0D04" w:rsidRPr="003E3DC3" w:rsidRDefault="003F0D04"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3F0D04" w14:paraId="10ED8C05" w14:textId="77777777" w:rsidTr="00584993">
        <w:tc>
          <w:tcPr>
            <w:tcW w:w="7354" w:type="dxa"/>
          </w:tcPr>
          <w:p w14:paraId="1F106CCF" w14:textId="77777777" w:rsidR="003F0D04" w:rsidRDefault="003F0D04" w:rsidP="00584993">
            <w:pPr>
              <w:pStyle w:val="BodyText"/>
              <w:rPr>
                <w:lang w:eastAsia="en-AU"/>
              </w:rPr>
            </w:pPr>
            <w:r w:rsidRPr="002F5B60">
              <w:rPr>
                <w:lang w:eastAsia="en-AU"/>
              </w:rPr>
              <w:t>safe, secure and affordable supplies in a changing future</w:t>
            </w:r>
          </w:p>
        </w:tc>
        <w:tc>
          <w:tcPr>
            <w:tcW w:w="2265" w:type="dxa"/>
          </w:tcPr>
          <w:p w14:paraId="542B01B6" w14:textId="77777777" w:rsidR="003F0D04" w:rsidRDefault="003F0D04" w:rsidP="00584993">
            <w:pPr>
              <w:pStyle w:val="BodyText"/>
              <w:rPr>
                <w:lang w:eastAsia="en-AU"/>
              </w:rPr>
            </w:pPr>
            <w:r>
              <w:t>Low impact</w:t>
            </w:r>
          </w:p>
        </w:tc>
      </w:tr>
      <w:tr w:rsidR="003F0D04" w14:paraId="454A0D24" w14:textId="77777777" w:rsidTr="00584993">
        <w:tc>
          <w:tcPr>
            <w:tcW w:w="7354" w:type="dxa"/>
          </w:tcPr>
          <w:p w14:paraId="04215AAF" w14:textId="77777777" w:rsidR="003F0D04" w:rsidRDefault="003F0D04" w:rsidP="00584993">
            <w:pPr>
              <w:pStyle w:val="BodyText"/>
              <w:rPr>
                <w:lang w:eastAsia="en-AU"/>
              </w:rPr>
            </w:pPr>
            <w:r w:rsidRPr="002F5B60">
              <w:rPr>
                <w:lang w:eastAsia="en-AU"/>
              </w:rPr>
              <w:t>effective and affordable wastewater systems</w:t>
            </w:r>
          </w:p>
        </w:tc>
        <w:tc>
          <w:tcPr>
            <w:tcW w:w="2265" w:type="dxa"/>
          </w:tcPr>
          <w:p w14:paraId="0EA0AE44" w14:textId="77777777" w:rsidR="003F0D04" w:rsidRDefault="003F0D04" w:rsidP="00584993">
            <w:pPr>
              <w:pStyle w:val="BodyText"/>
              <w:rPr>
                <w:lang w:eastAsia="en-AU"/>
              </w:rPr>
            </w:pPr>
            <w:r>
              <w:t>Low impact</w:t>
            </w:r>
          </w:p>
        </w:tc>
      </w:tr>
      <w:tr w:rsidR="003F0D04" w14:paraId="131F2B38" w14:textId="77777777" w:rsidTr="00584993">
        <w:tc>
          <w:tcPr>
            <w:tcW w:w="7354" w:type="dxa"/>
          </w:tcPr>
          <w:p w14:paraId="44E6FEE3" w14:textId="77777777" w:rsidR="003F0D04" w:rsidRDefault="003F0D04" w:rsidP="00584993">
            <w:pPr>
              <w:pStyle w:val="BodyText"/>
              <w:rPr>
                <w:lang w:eastAsia="en-AU"/>
              </w:rPr>
            </w:pPr>
            <w:r w:rsidRPr="00450552">
              <w:rPr>
                <w:lang w:eastAsia="en-AU"/>
              </w:rPr>
              <w:t>manage flood risks</w:t>
            </w:r>
          </w:p>
        </w:tc>
        <w:tc>
          <w:tcPr>
            <w:tcW w:w="2265" w:type="dxa"/>
          </w:tcPr>
          <w:p w14:paraId="6CCD1803" w14:textId="77777777" w:rsidR="003F0D04" w:rsidRDefault="003F0D04" w:rsidP="00584993">
            <w:pPr>
              <w:pStyle w:val="BodyText"/>
              <w:rPr>
                <w:lang w:eastAsia="en-AU"/>
              </w:rPr>
            </w:pPr>
            <w:r>
              <w:rPr>
                <w:lang w:eastAsia="en-AU"/>
              </w:rPr>
              <w:t>Medium impact</w:t>
            </w:r>
          </w:p>
        </w:tc>
      </w:tr>
      <w:tr w:rsidR="003F0D04" w14:paraId="1BAD2FA5" w14:textId="77777777" w:rsidTr="00584993">
        <w:tc>
          <w:tcPr>
            <w:tcW w:w="7354" w:type="dxa"/>
          </w:tcPr>
          <w:p w14:paraId="2DC9CE33" w14:textId="77777777" w:rsidR="003F0D04" w:rsidRDefault="003F0D04" w:rsidP="00584993">
            <w:pPr>
              <w:pStyle w:val="BodyText"/>
              <w:rPr>
                <w:lang w:eastAsia="en-AU"/>
              </w:rPr>
            </w:pPr>
            <w:r w:rsidRPr="00450552">
              <w:rPr>
                <w:lang w:eastAsia="en-AU"/>
              </w:rPr>
              <w:t>healthy and valued waterways and waterbodies</w:t>
            </w:r>
          </w:p>
        </w:tc>
        <w:tc>
          <w:tcPr>
            <w:tcW w:w="2265" w:type="dxa"/>
          </w:tcPr>
          <w:p w14:paraId="31F83F9D" w14:textId="77777777" w:rsidR="003F0D04" w:rsidRDefault="003F0D04" w:rsidP="00584993">
            <w:pPr>
              <w:pStyle w:val="BodyText"/>
              <w:rPr>
                <w:lang w:eastAsia="en-AU"/>
              </w:rPr>
            </w:pPr>
            <w:r>
              <w:t>High i</w:t>
            </w:r>
            <w:r w:rsidRPr="00E92304">
              <w:t>mpact</w:t>
            </w:r>
          </w:p>
        </w:tc>
      </w:tr>
      <w:tr w:rsidR="003F0D04" w14:paraId="34B9F83B" w14:textId="77777777" w:rsidTr="00584993">
        <w:tc>
          <w:tcPr>
            <w:tcW w:w="7354" w:type="dxa"/>
          </w:tcPr>
          <w:p w14:paraId="5E099CF7" w14:textId="77777777" w:rsidR="003F0D04" w:rsidRDefault="003F0D04" w:rsidP="00584993">
            <w:pPr>
              <w:pStyle w:val="BodyText"/>
              <w:rPr>
                <w:lang w:eastAsia="en-AU"/>
              </w:rPr>
            </w:pPr>
            <w:r w:rsidRPr="00450552">
              <w:rPr>
                <w:lang w:eastAsia="en-AU"/>
              </w:rPr>
              <w:t>healthy and valued landscapes</w:t>
            </w:r>
          </w:p>
        </w:tc>
        <w:tc>
          <w:tcPr>
            <w:tcW w:w="2265" w:type="dxa"/>
          </w:tcPr>
          <w:p w14:paraId="31D78945" w14:textId="7455F8DE" w:rsidR="003F0D04" w:rsidRDefault="00167735" w:rsidP="00E64BEE">
            <w:pPr>
              <w:pStyle w:val="BodyText"/>
              <w:rPr>
                <w:lang w:eastAsia="en-AU"/>
              </w:rPr>
            </w:pPr>
            <w:r>
              <w:t xml:space="preserve">High </w:t>
            </w:r>
            <w:r w:rsidR="003F0D04">
              <w:t>impact</w:t>
            </w:r>
          </w:p>
        </w:tc>
      </w:tr>
      <w:tr w:rsidR="003F0D04" w14:paraId="1A61FF6B" w14:textId="77777777" w:rsidTr="00584993">
        <w:tc>
          <w:tcPr>
            <w:tcW w:w="7354" w:type="dxa"/>
          </w:tcPr>
          <w:p w14:paraId="5D74B2F1" w14:textId="77777777" w:rsidR="003F0D04" w:rsidRDefault="003F0D04"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6101BAA4" w14:textId="482851A2" w:rsidR="003F0D04" w:rsidRDefault="00167735" w:rsidP="00584993">
            <w:pPr>
              <w:pStyle w:val="BodyText"/>
              <w:rPr>
                <w:lang w:eastAsia="en-AU"/>
              </w:rPr>
            </w:pPr>
            <w:r>
              <w:t xml:space="preserve">Low </w:t>
            </w:r>
            <w:r w:rsidR="003F0D04">
              <w:t>impact</w:t>
            </w:r>
          </w:p>
        </w:tc>
      </w:tr>
      <w:tr w:rsidR="003F0D04" w14:paraId="72D3D0B0" w14:textId="77777777" w:rsidTr="00584993">
        <w:tc>
          <w:tcPr>
            <w:tcW w:w="7354" w:type="dxa"/>
          </w:tcPr>
          <w:p w14:paraId="3C907D8B" w14:textId="6B088949" w:rsidR="003F0D04" w:rsidRPr="00450552" w:rsidRDefault="00256EB7" w:rsidP="00584993">
            <w:pPr>
              <w:pStyle w:val="BodyText"/>
              <w:rPr>
                <w:lang w:eastAsia="en-AU"/>
              </w:rPr>
            </w:pPr>
            <w:r>
              <w:rPr>
                <w:lang w:eastAsia="en-AU"/>
              </w:rPr>
              <w:t>c</w:t>
            </w:r>
            <w:r w:rsidR="003F0D04">
              <w:rPr>
                <w:lang w:eastAsia="en-AU"/>
              </w:rPr>
              <w:t>ommunity values reflected in place-based planning</w:t>
            </w:r>
          </w:p>
        </w:tc>
        <w:tc>
          <w:tcPr>
            <w:tcW w:w="2265" w:type="dxa"/>
          </w:tcPr>
          <w:p w14:paraId="0E2D16E4" w14:textId="40C935B7" w:rsidR="003F0D04" w:rsidRPr="00E92304" w:rsidRDefault="009E6F56" w:rsidP="00584993">
            <w:pPr>
              <w:pStyle w:val="BodyText"/>
            </w:pPr>
            <w:r>
              <w:t>High</w:t>
            </w:r>
            <w:r w:rsidR="003F0D04">
              <w:t xml:space="preserve"> impact</w:t>
            </w:r>
          </w:p>
        </w:tc>
      </w:tr>
      <w:tr w:rsidR="003F0D04" w14:paraId="5585C991" w14:textId="77777777" w:rsidTr="00584993">
        <w:tc>
          <w:tcPr>
            <w:tcW w:w="7354" w:type="dxa"/>
          </w:tcPr>
          <w:p w14:paraId="42F9E20E" w14:textId="77777777" w:rsidR="003F0D04" w:rsidRDefault="003F0D04" w:rsidP="00584993">
            <w:pPr>
              <w:pStyle w:val="BodyText"/>
              <w:rPr>
                <w:lang w:eastAsia="en-AU"/>
              </w:rPr>
            </w:pPr>
            <w:r w:rsidRPr="00450552">
              <w:rPr>
                <w:lang w:eastAsia="en-AU"/>
              </w:rPr>
              <w:t>jobs, economic opportunity and innovation</w:t>
            </w:r>
          </w:p>
        </w:tc>
        <w:tc>
          <w:tcPr>
            <w:tcW w:w="2265" w:type="dxa"/>
          </w:tcPr>
          <w:p w14:paraId="0761FF24" w14:textId="7DA6CFD3" w:rsidR="003F0D04" w:rsidRDefault="009E6F56" w:rsidP="00584993">
            <w:pPr>
              <w:pStyle w:val="BodyText"/>
              <w:rPr>
                <w:lang w:eastAsia="en-AU"/>
              </w:rPr>
            </w:pPr>
            <w:r>
              <w:t xml:space="preserve">Medium </w:t>
            </w:r>
            <w:r w:rsidR="003F0D04" w:rsidRPr="00E92304">
              <w:t>Impact</w:t>
            </w:r>
          </w:p>
        </w:tc>
      </w:tr>
    </w:tbl>
    <w:p w14:paraId="50F29FC7" w14:textId="4FF2B84D" w:rsidR="003F0D04" w:rsidRDefault="008B787B" w:rsidP="008B787B">
      <w:pPr>
        <w:pStyle w:val="Heading2"/>
      </w:pPr>
      <w:bookmarkStart w:id="70" w:name="_Toc117694682"/>
      <w:bookmarkEnd w:id="69"/>
      <w:r>
        <w:t>Bairnsdale IWM Plan Implementation</w:t>
      </w:r>
      <w:bookmarkEnd w:id="70"/>
    </w:p>
    <w:p w14:paraId="09924DE2" w14:textId="77777777" w:rsidR="00A7150B" w:rsidRDefault="00A7150B" w:rsidP="00A7150B">
      <w:pPr>
        <w:pStyle w:val="BodyText"/>
        <w:rPr>
          <w:lang w:eastAsia="en-AU"/>
        </w:rPr>
      </w:pPr>
      <w:r>
        <w:rPr>
          <w:lang w:eastAsia="en-AU"/>
        </w:rPr>
        <w:t xml:space="preserve">There is a complex relationship between the private and public assets within the Bairnsdale urban landscape and between the urban landscape, the adjacent wetlands and the Gippsland Lakes. Reviewing IWM opportunities of the system </w:t>
      </w:r>
      <w:proofErr w:type="gramStart"/>
      <w:r>
        <w:rPr>
          <w:lang w:eastAsia="en-AU"/>
        </w:rPr>
        <w:t>as a whole allows</w:t>
      </w:r>
      <w:proofErr w:type="gramEnd"/>
      <w:r>
        <w:rPr>
          <w:lang w:eastAsia="en-AU"/>
        </w:rPr>
        <w:t xml:space="preserve"> exploration of the synergies and conflicts between built and natural assets and the social, economic, political and environmental systems in which they are contained. </w:t>
      </w:r>
    </w:p>
    <w:p w14:paraId="603F4AEF" w14:textId="77777777" w:rsidR="00A7150B" w:rsidRDefault="00A7150B" w:rsidP="00A7150B">
      <w:pPr>
        <w:pStyle w:val="BodyText"/>
        <w:rPr>
          <w:lang w:eastAsia="en-AU"/>
        </w:rPr>
      </w:pPr>
      <w:r>
        <w:rPr>
          <w:lang w:eastAsia="en-AU"/>
        </w:rPr>
        <w:lastRenderedPageBreak/>
        <w:t xml:space="preserve">The IWM Plan for Bairnsdale has been prepared to support stakeholder organisations to meet future water cycle challenges and to ensure that Bairnsdale continues to be a great place to live, work and visit. This was an initiative of the 2018 SDS. </w:t>
      </w:r>
    </w:p>
    <w:p w14:paraId="381813C6" w14:textId="77777777" w:rsidR="00A7150B" w:rsidRDefault="00A7150B" w:rsidP="00A7150B">
      <w:pPr>
        <w:pStyle w:val="BodyText"/>
        <w:rPr>
          <w:lang w:eastAsia="en-AU"/>
        </w:rPr>
      </w:pPr>
      <w:r>
        <w:rPr>
          <w:lang w:eastAsia="en-AU"/>
        </w:rPr>
        <w:t xml:space="preserve">The Bairnsdale IWM Plan (2020 – 2030) sets out a vision of 'innovative and collaborative water management to maximise the resilience, liveability and economic prosperity of our East Gippsland communities and connected waterways, wetlands and the Gippsland Lakes.' </w:t>
      </w:r>
    </w:p>
    <w:p w14:paraId="6186975B" w14:textId="77777777" w:rsidR="00970162" w:rsidRDefault="00970162" w:rsidP="00970162">
      <w:pPr>
        <w:pStyle w:val="BodyText"/>
        <w:rPr>
          <w:lang w:eastAsia="en-AU"/>
        </w:rPr>
      </w:pPr>
      <w:r>
        <w:rPr>
          <w:lang w:eastAsia="en-AU"/>
        </w:rPr>
        <w:t xml:space="preserve">As well as the outcomes expressed within the 2018 SDS, the stakeholders to this plan also identified three over-arching objectives: </w:t>
      </w:r>
    </w:p>
    <w:p w14:paraId="369DE2EA" w14:textId="77777777" w:rsidR="00970162" w:rsidRDefault="00970162" w:rsidP="00970162">
      <w:pPr>
        <w:pStyle w:val="BodyText"/>
        <w:numPr>
          <w:ilvl w:val="0"/>
          <w:numId w:val="29"/>
        </w:numPr>
        <w:rPr>
          <w:lang w:eastAsia="en-AU"/>
        </w:rPr>
      </w:pPr>
      <w:r>
        <w:rPr>
          <w:lang w:eastAsia="en-AU"/>
        </w:rPr>
        <w:t xml:space="preserve">reducing reliance on potable water </w:t>
      </w:r>
    </w:p>
    <w:p w14:paraId="60B0DBCE" w14:textId="77777777" w:rsidR="0041692D" w:rsidRDefault="00970162" w:rsidP="00970162">
      <w:pPr>
        <w:pStyle w:val="BodyText"/>
        <w:numPr>
          <w:ilvl w:val="0"/>
          <w:numId w:val="29"/>
        </w:numPr>
        <w:rPr>
          <w:lang w:eastAsia="en-AU"/>
        </w:rPr>
      </w:pPr>
      <w:r>
        <w:rPr>
          <w:lang w:eastAsia="en-AU"/>
        </w:rPr>
        <w:t xml:space="preserve">improving waterway, wetland and lake health through urban stormwater management </w:t>
      </w:r>
    </w:p>
    <w:p w14:paraId="7369B012" w14:textId="067E3F39" w:rsidR="00970162" w:rsidRDefault="00970162" w:rsidP="00970162">
      <w:pPr>
        <w:pStyle w:val="BodyText"/>
        <w:numPr>
          <w:ilvl w:val="0"/>
          <w:numId w:val="29"/>
        </w:numPr>
        <w:rPr>
          <w:lang w:eastAsia="en-AU"/>
        </w:rPr>
      </w:pPr>
      <w:r>
        <w:rPr>
          <w:lang w:eastAsia="en-AU"/>
        </w:rPr>
        <w:t xml:space="preserve">enhancing the connection and understanding of the water cycle in the Bairnsdale community. </w:t>
      </w:r>
    </w:p>
    <w:p w14:paraId="2775FE96" w14:textId="6B492D59" w:rsidR="00190563" w:rsidRDefault="00970162" w:rsidP="00A7150B">
      <w:pPr>
        <w:pStyle w:val="BodyText"/>
        <w:rPr>
          <w:lang w:eastAsia="en-AU"/>
        </w:rPr>
      </w:pPr>
      <w:r>
        <w:rPr>
          <w:lang w:eastAsia="en-AU"/>
        </w:rPr>
        <w:t>The plan is now being implemented. So far, the Bairnsdale</w:t>
      </w:r>
      <w:r w:rsidR="0041692D" w:rsidRPr="0041692D">
        <w:t xml:space="preserve"> </w:t>
      </w:r>
      <w:r w:rsidR="0041692D" w:rsidRPr="0041692D">
        <w:rPr>
          <w:lang w:eastAsia="en-AU"/>
        </w:rPr>
        <w:t xml:space="preserve">Livestock Exchange is harvesting and reusing stormwater and </w:t>
      </w:r>
      <w:proofErr w:type="spellStart"/>
      <w:r w:rsidR="0041692D" w:rsidRPr="0041692D">
        <w:rPr>
          <w:lang w:eastAsia="en-AU"/>
        </w:rPr>
        <w:t>Magees</w:t>
      </w:r>
      <w:proofErr w:type="spellEnd"/>
      <w:r w:rsidR="0041692D" w:rsidRPr="0041692D">
        <w:rPr>
          <w:lang w:eastAsia="en-AU"/>
        </w:rPr>
        <w:t xml:space="preserve"> Gully has been fully revegetated and a new bridge constructed. The Bairnsdale Oval recycled water re-use project is underway.</w:t>
      </w:r>
    </w:p>
    <w:p w14:paraId="51412AF1" w14:textId="67362647" w:rsidR="008B787B" w:rsidRDefault="00A7150B" w:rsidP="00A7150B">
      <w:pPr>
        <w:pStyle w:val="BodyText"/>
        <w:rPr>
          <w:lang w:eastAsia="en-AU"/>
        </w:rPr>
      </w:pPr>
      <w:r>
        <w:rPr>
          <w:lang w:eastAsia="en-AU"/>
        </w:rPr>
        <w:t>Priority projects for the next stage of implementation include water management in the WORLD Sporting Precinct redevelopment, developing a recycled water network plan, developing an IWM plan for the Bairnsdale Regional Health Services, incorporating blue and green corridors into urban landscape design, and undertaking a spatial investigation into rainwater harvesting from large roof areas.</w:t>
      </w:r>
    </w:p>
    <w:p w14:paraId="2485B93D" w14:textId="41879727" w:rsidR="00260A07" w:rsidRDefault="00260A07" w:rsidP="00260A07">
      <w:pPr>
        <w:pStyle w:val="CaptionImageorFigure"/>
      </w:pPr>
      <w:r>
        <w:t xml:space="preserve">Table </w:t>
      </w:r>
      <w:r w:rsidR="00843DD7">
        <w:t>6</w:t>
      </w:r>
      <w:r>
        <w:t>: A summary of key details for the</w:t>
      </w:r>
      <w:r w:rsidRPr="00260A07">
        <w:t xml:space="preserve"> Bairnsdale IWM Plan Implementation</w:t>
      </w:r>
      <w:r>
        <w:t xml:space="preserve"> opportunity</w:t>
      </w:r>
    </w:p>
    <w:tbl>
      <w:tblPr>
        <w:tblStyle w:val="TableGrid"/>
        <w:tblW w:w="9638" w:type="dxa"/>
        <w:tblLook w:val="04A0" w:firstRow="1" w:lastRow="0" w:firstColumn="1" w:lastColumn="0" w:noHBand="0" w:noVBand="1"/>
      </w:tblPr>
      <w:tblGrid>
        <w:gridCol w:w="2268"/>
        <w:gridCol w:w="7370"/>
      </w:tblGrid>
      <w:tr w:rsidR="00260A07" w14:paraId="5795BE4B"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9202D3B" w14:textId="77777777" w:rsidR="00260A07" w:rsidRPr="003E3DC3" w:rsidRDefault="00260A07" w:rsidP="00584993">
            <w:pPr>
              <w:pStyle w:val="TableHeadingLeft"/>
              <w:rPr>
                <w:sz w:val="24"/>
                <w:szCs w:val="36"/>
              </w:rPr>
            </w:pPr>
            <w:r w:rsidRPr="003E3DC3">
              <w:rPr>
                <w:sz w:val="24"/>
                <w:szCs w:val="36"/>
              </w:rPr>
              <w:t>Subject</w:t>
            </w:r>
          </w:p>
        </w:tc>
        <w:tc>
          <w:tcPr>
            <w:tcW w:w="7370" w:type="dxa"/>
          </w:tcPr>
          <w:p w14:paraId="227402A2" w14:textId="77777777" w:rsidR="00260A07" w:rsidRPr="003E3DC3" w:rsidRDefault="00260A07"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260A07" w14:paraId="48DD0C35" w14:textId="77777777" w:rsidTr="00584993">
        <w:tc>
          <w:tcPr>
            <w:tcW w:w="2268" w:type="dxa"/>
          </w:tcPr>
          <w:p w14:paraId="26B21AFD" w14:textId="77777777" w:rsidR="00260A07" w:rsidRPr="003E3DC3" w:rsidRDefault="00260A07" w:rsidP="00584993">
            <w:pPr>
              <w:pStyle w:val="BodyText"/>
              <w:rPr>
                <w:b/>
                <w:bCs/>
              </w:rPr>
            </w:pPr>
            <w:r w:rsidRPr="003E3DC3">
              <w:rPr>
                <w:b/>
                <w:bCs/>
              </w:rPr>
              <w:t>Status</w:t>
            </w:r>
          </w:p>
        </w:tc>
        <w:tc>
          <w:tcPr>
            <w:tcW w:w="7370" w:type="dxa"/>
          </w:tcPr>
          <w:p w14:paraId="19C22A4A" w14:textId="7299617D" w:rsidR="00260A07" w:rsidRPr="003E3DC3" w:rsidRDefault="00260A07" w:rsidP="00584993">
            <w:pPr>
              <w:pStyle w:val="BodyText"/>
            </w:pPr>
            <w:r w:rsidRPr="003A0D11">
              <w:t>I</w:t>
            </w:r>
            <w:r>
              <w:t>mplementation</w:t>
            </w:r>
          </w:p>
        </w:tc>
      </w:tr>
      <w:tr w:rsidR="00260A07" w14:paraId="6D61B8FD" w14:textId="77777777" w:rsidTr="00584993">
        <w:tc>
          <w:tcPr>
            <w:tcW w:w="2268" w:type="dxa"/>
          </w:tcPr>
          <w:p w14:paraId="632A375A" w14:textId="77777777" w:rsidR="00260A07" w:rsidRPr="003E3DC3" w:rsidRDefault="00260A07" w:rsidP="00584993">
            <w:pPr>
              <w:pStyle w:val="BodyText"/>
              <w:rPr>
                <w:b/>
                <w:bCs/>
              </w:rPr>
            </w:pPr>
            <w:r w:rsidRPr="003E3DC3">
              <w:rPr>
                <w:b/>
                <w:bCs/>
              </w:rPr>
              <w:t xml:space="preserve">Lead </w:t>
            </w:r>
            <w:r>
              <w:rPr>
                <w:b/>
                <w:bCs/>
              </w:rPr>
              <w:t>agency</w:t>
            </w:r>
          </w:p>
        </w:tc>
        <w:tc>
          <w:tcPr>
            <w:tcW w:w="7370" w:type="dxa"/>
          </w:tcPr>
          <w:p w14:paraId="659A5953" w14:textId="6711C79A" w:rsidR="00260A07" w:rsidRPr="003E3DC3" w:rsidRDefault="00C768DA" w:rsidP="00584993">
            <w:pPr>
              <w:pStyle w:val="BodyText"/>
            </w:pPr>
            <w:r>
              <w:t>East Gippsland Water, East Gippsland Shire Council</w:t>
            </w:r>
          </w:p>
        </w:tc>
      </w:tr>
      <w:tr w:rsidR="00260A07" w14:paraId="29195CCB" w14:textId="77777777" w:rsidTr="00584993">
        <w:tc>
          <w:tcPr>
            <w:tcW w:w="2268" w:type="dxa"/>
          </w:tcPr>
          <w:p w14:paraId="5902BB11" w14:textId="77777777" w:rsidR="00260A07" w:rsidRPr="003E3DC3" w:rsidRDefault="00260A07" w:rsidP="00584993">
            <w:pPr>
              <w:pStyle w:val="BodyText"/>
              <w:rPr>
                <w:b/>
                <w:bCs/>
              </w:rPr>
            </w:pPr>
            <w:r w:rsidRPr="003E3DC3">
              <w:rPr>
                <w:b/>
                <w:bCs/>
              </w:rPr>
              <w:t>Implementation partners</w:t>
            </w:r>
          </w:p>
        </w:tc>
        <w:tc>
          <w:tcPr>
            <w:tcW w:w="7370" w:type="dxa"/>
          </w:tcPr>
          <w:p w14:paraId="58CF7070" w14:textId="42543787" w:rsidR="00260A07" w:rsidRPr="003E3DC3" w:rsidRDefault="00C768DA" w:rsidP="005C5504">
            <w:pPr>
              <w:pStyle w:val="BodyText"/>
            </w:pPr>
            <w:r>
              <w:t>East Gippsland Catchment Management Authority, Bairnsdale Regional Health, Gunaikurnai Land and Waters Aboriginal Corporation, Parks Victoria</w:t>
            </w:r>
          </w:p>
        </w:tc>
      </w:tr>
      <w:tr w:rsidR="00260A07" w14:paraId="09413C05" w14:textId="77777777" w:rsidTr="00584993">
        <w:tc>
          <w:tcPr>
            <w:tcW w:w="2268" w:type="dxa"/>
          </w:tcPr>
          <w:p w14:paraId="4D09A4FF" w14:textId="77777777" w:rsidR="00260A07" w:rsidRPr="003E3DC3" w:rsidRDefault="00260A07" w:rsidP="00584993">
            <w:pPr>
              <w:pStyle w:val="BodyText"/>
              <w:rPr>
                <w:b/>
                <w:bCs/>
              </w:rPr>
            </w:pPr>
            <w:r w:rsidRPr="003E3DC3">
              <w:rPr>
                <w:b/>
                <w:bCs/>
              </w:rPr>
              <w:t>Location</w:t>
            </w:r>
          </w:p>
        </w:tc>
        <w:tc>
          <w:tcPr>
            <w:tcW w:w="7370" w:type="dxa"/>
          </w:tcPr>
          <w:p w14:paraId="060BAEE5" w14:textId="28E3506C" w:rsidR="00260A07" w:rsidRPr="003E3DC3" w:rsidRDefault="00C768DA" w:rsidP="00584993">
            <w:pPr>
              <w:pStyle w:val="BodyText"/>
            </w:pPr>
            <w:r>
              <w:t>Bairnsdale</w:t>
            </w:r>
          </w:p>
        </w:tc>
      </w:tr>
      <w:tr w:rsidR="00260A07" w14:paraId="14979C98" w14:textId="77777777" w:rsidTr="00584993">
        <w:tc>
          <w:tcPr>
            <w:tcW w:w="2268" w:type="dxa"/>
          </w:tcPr>
          <w:p w14:paraId="26A84178" w14:textId="77777777" w:rsidR="00260A07" w:rsidRPr="003E3DC3" w:rsidRDefault="00260A07" w:rsidP="00584993">
            <w:pPr>
              <w:pStyle w:val="BodyText"/>
              <w:rPr>
                <w:b/>
                <w:bCs/>
              </w:rPr>
            </w:pPr>
            <w:r>
              <w:rPr>
                <w:b/>
                <w:bCs/>
              </w:rPr>
              <w:t>Scale</w:t>
            </w:r>
          </w:p>
        </w:tc>
        <w:tc>
          <w:tcPr>
            <w:tcW w:w="7370" w:type="dxa"/>
          </w:tcPr>
          <w:p w14:paraId="1FE44E2B" w14:textId="525F5CF5" w:rsidR="00260A07" w:rsidRDefault="00C768DA" w:rsidP="00584993">
            <w:pPr>
              <w:pStyle w:val="BodyText"/>
            </w:pPr>
            <w:r>
              <w:t>Town</w:t>
            </w:r>
          </w:p>
        </w:tc>
      </w:tr>
    </w:tbl>
    <w:p w14:paraId="175F25F3" w14:textId="09BE80B9" w:rsidR="00260A07" w:rsidRDefault="00260A07" w:rsidP="00260A07">
      <w:pPr>
        <w:pStyle w:val="CaptionImageorFigure"/>
      </w:pPr>
      <w:r>
        <w:lastRenderedPageBreak/>
        <w:t xml:space="preserve">Table </w:t>
      </w:r>
      <w:r w:rsidR="00843DD7">
        <w:t>7</w:t>
      </w:r>
      <w:r>
        <w:t xml:space="preserve">: A summary of the impact that the </w:t>
      </w:r>
      <w:r w:rsidRPr="00260A07">
        <w:t>Bairnsdale IWM Plan Implementation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0A07" w14:paraId="3CFEEB0D"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83F8DA1" w14:textId="77777777" w:rsidR="00260A07" w:rsidRPr="003E3DC3" w:rsidRDefault="00260A07" w:rsidP="00584993">
            <w:pPr>
              <w:pStyle w:val="TableHeadingLeft"/>
              <w:rPr>
                <w:sz w:val="24"/>
                <w:szCs w:val="36"/>
              </w:rPr>
            </w:pPr>
            <w:r w:rsidRPr="003E3DC3">
              <w:rPr>
                <w:sz w:val="24"/>
                <w:szCs w:val="36"/>
              </w:rPr>
              <w:t>IWM outcome</w:t>
            </w:r>
          </w:p>
        </w:tc>
        <w:tc>
          <w:tcPr>
            <w:tcW w:w="2265" w:type="dxa"/>
          </w:tcPr>
          <w:p w14:paraId="792935B9" w14:textId="77777777" w:rsidR="00260A07" w:rsidRPr="003E3DC3" w:rsidRDefault="00260A07"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260A07" w14:paraId="43C5C1DD" w14:textId="77777777" w:rsidTr="00584993">
        <w:tc>
          <w:tcPr>
            <w:tcW w:w="7354" w:type="dxa"/>
          </w:tcPr>
          <w:p w14:paraId="1A8C1A7B" w14:textId="77777777" w:rsidR="00260A07" w:rsidRDefault="00260A07" w:rsidP="00584993">
            <w:pPr>
              <w:pStyle w:val="BodyText"/>
              <w:rPr>
                <w:lang w:eastAsia="en-AU"/>
              </w:rPr>
            </w:pPr>
            <w:r w:rsidRPr="002F5B60">
              <w:rPr>
                <w:lang w:eastAsia="en-AU"/>
              </w:rPr>
              <w:t>safe, secure and affordable supplies in a changing future</w:t>
            </w:r>
          </w:p>
        </w:tc>
        <w:tc>
          <w:tcPr>
            <w:tcW w:w="2265" w:type="dxa"/>
          </w:tcPr>
          <w:p w14:paraId="0BE0A279" w14:textId="667B763F" w:rsidR="00260A07" w:rsidRDefault="00F508D7" w:rsidP="00584993">
            <w:pPr>
              <w:pStyle w:val="BodyText"/>
              <w:rPr>
                <w:lang w:eastAsia="en-AU"/>
              </w:rPr>
            </w:pPr>
            <w:r>
              <w:t>High impact</w:t>
            </w:r>
          </w:p>
        </w:tc>
      </w:tr>
      <w:tr w:rsidR="00260A07" w14:paraId="11EA72A7" w14:textId="77777777" w:rsidTr="00584993">
        <w:tc>
          <w:tcPr>
            <w:tcW w:w="7354" w:type="dxa"/>
          </w:tcPr>
          <w:p w14:paraId="14AB272F" w14:textId="77777777" w:rsidR="00260A07" w:rsidRDefault="00260A07" w:rsidP="00584993">
            <w:pPr>
              <w:pStyle w:val="BodyText"/>
              <w:rPr>
                <w:lang w:eastAsia="en-AU"/>
              </w:rPr>
            </w:pPr>
            <w:r w:rsidRPr="002F5B60">
              <w:rPr>
                <w:lang w:eastAsia="en-AU"/>
              </w:rPr>
              <w:t>effective and affordable wastewater systems</w:t>
            </w:r>
          </w:p>
        </w:tc>
        <w:tc>
          <w:tcPr>
            <w:tcW w:w="2265" w:type="dxa"/>
          </w:tcPr>
          <w:p w14:paraId="050AFF22" w14:textId="2494A01D" w:rsidR="00260A07" w:rsidRDefault="00F508D7" w:rsidP="00584993">
            <w:pPr>
              <w:pStyle w:val="BodyText"/>
              <w:rPr>
                <w:lang w:eastAsia="en-AU"/>
              </w:rPr>
            </w:pPr>
            <w:r>
              <w:t>Medium</w:t>
            </w:r>
            <w:r w:rsidR="00260A07">
              <w:t xml:space="preserve"> impact</w:t>
            </w:r>
          </w:p>
        </w:tc>
      </w:tr>
      <w:tr w:rsidR="00260A07" w14:paraId="47470015" w14:textId="77777777" w:rsidTr="00584993">
        <w:tc>
          <w:tcPr>
            <w:tcW w:w="7354" w:type="dxa"/>
          </w:tcPr>
          <w:p w14:paraId="6A3D2617" w14:textId="77777777" w:rsidR="00260A07" w:rsidRDefault="00260A07" w:rsidP="00584993">
            <w:pPr>
              <w:pStyle w:val="BodyText"/>
              <w:rPr>
                <w:lang w:eastAsia="en-AU"/>
              </w:rPr>
            </w:pPr>
            <w:r w:rsidRPr="00450552">
              <w:rPr>
                <w:lang w:eastAsia="en-AU"/>
              </w:rPr>
              <w:t>manage flood risks</w:t>
            </w:r>
          </w:p>
        </w:tc>
        <w:tc>
          <w:tcPr>
            <w:tcW w:w="2265" w:type="dxa"/>
          </w:tcPr>
          <w:p w14:paraId="46EB2DC0" w14:textId="77777777" w:rsidR="00260A07" w:rsidRDefault="00260A07" w:rsidP="00584993">
            <w:pPr>
              <w:pStyle w:val="BodyText"/>
              <w:rPr>
                <w:lang w:eastAsia="en-AU"/>
              </w:rPr>
            </w:pPr>
            <w:r>
              <w:rPr>
                <w:lang w:eastAsia="en-AU"/>
              </w:rPr>
              <w:t>Medium impact</w:t>
            </w:r>
          </w:p>
        </w:tc>
      </w:tr>
      <w:tr w:rsidR="00260A07" w14:paraId="6F0A62D3" w14:textId="77777777" w:rsidTr="00584993">
        <w:tc>
          <w:tcPr>
            <w:tcW w:w="7354" w:type="dxa"/>
          </w:tcPr>
          <w:p w14:paraId="09DAFD99" w14:textId="77777777" w:rsidR="00260A07" w:rsidRDefault="00260A07" w:rsidP="00584993">
            <w:pPr>
              <w:pStyle w:val="BodyText"/>
              <w:rPr>
                <w:lang w:eastAsia="en-AU"/>
              </w:rPr>
            </w:pPr>
            <w:r w:rsidRPr="00450552">
              <w:rPr>
                <w:lang w:eastAsia="en-AU"/>
              </w:rPr>
              <w:t>healthy and valued waterways and waterbodies</w:t>
            </w:r>
          </w:p>
        </w:tc>
        <w:tc>
          <w:tcPr>
            <w:tcW w:w="2265" w:type="dxa"/>
          </w:tcPr>
          <w:p w14:paraId="313F9380" w14:textId="77777777" w:rsidR="00260A07" w:rsidRDefault="00260A07" w:rsidP="00584993">
            <w:pPr>
              <w:pStyle w:val="BodyText"/>
              <w:rPr>
                <w:lang w:eastAsia="en-AU"/>
              </w:rPr>
            </w:pPr>
            <w:r>
              <w:t>High i</w:t>
            </w:r>
            <w:r w:rsidRPr="00E92304">
              <w:t>mpact</w:t>
            </w:r>
          </w:p>
        </w:tc>
      </w:tr>
      <w:tr w:rsidR="00260A07" w14:paraId="5A4CEE62" w14:textId="77777777" w:rsidTr="00584993">
        <w:tc>
          <w:tcPr>
            <w:tcW w:w="7354" w:type="dxa"/>
          </w:tcPr>
          <w:p w14:paraId="7C7E23DF" w14:textId="77777777" w:rsidR="00260A07" w:rsidRDefault="00260A07" w:rsidP="00584993">
            <w:pPr>
              <w:pStyle w:val="BodyText"/>
            </w:pPr>
            <w:r w:rsidRPr="00450552">
              <w:t>healthy and valued landscapes</w:t>
            </w:r>
          </w:p>
        </w:tc>
        <w:tc>
          <w:tcPr>
            <w:tcW w:w="2265" w:type="dxa"/>
          </w:tcPr>
          <w:p w14:paraId="0E331F85" w14:textId="08BE1417" w:rsidR="00260A07" w:rsidRDefault="00E64BEE" w:rsidP="00E64BEE">
            <w:pPr>
              <w:pStyle w:val="BodyText"/>
            </w:pPr>
            <w:r>
              <w:t>M</w:t>
            </w:r>
            <w:r w:rsidR="00F508D7">
              <w:t>edium</w:t>
            </w:r>
            <w:r w:rsidR="00260A07">
              <w:t xml:space="preserve"> impact</w:t>
            </w:r>
          </w:p>
        </w:tc>
      </w:tr>
      <w:tr w:rsidR="00260A07" w14:paraId="69E56584" w14:textId="77777777" w:rsidTr="00584993">
        <w:tc>
          <w:tcPr>
            <w:tcW w:w="7354" w:type="dxa"/>
          </w:tcPr>
          <w:p w14:paraId="546200DD" w14:textId="77777777" w:rsidR="00260A07" w:rsidRDefault="00260A07"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4EC80144" w14:textId="4B56E66A" w:rsidR="00260A07" w:rsidRDefault="00F508D7" w:rsidP="00584993">
            <w:pPr>
              <w:pStyle w:val="BodyText"/>
              <w:rPr>
                <w:lang w:eastAsia="en-AU"/>
              </w:rPr>
            </w:pPr>
            <w:r>
              <w:t>Medium</w:t>
            </w:r>
            <w:r w:rsidR="00260A07">
              <w:t xml:space="preserve"> impact</w:t>
            </w:r>
          </w:p>
        </w:tc>
      </w:tr>
      <w:tr w:rsidR="00260A07" w14:paraId="231163D8" w14:textId="77777777" w:rsidTr="00584993">
        <w:tc>
          <w:tcPr>
            <w:tcW w:w="7354" w:type="dxa"/>
          </w:tcPr>
          <w:p w14:paraId="207474A9" w14:textId="6C5CEC9B" w:rsidR="00260A07" w:rsidRPr="00450552" w:rsidRDefault="002954FB" w:rsidP="00584993">
            <w:pPr>
              <w:pStyle w:val="BodyText"/>
              <w:rPr>
                <w:lang w:eastAsia="en-AU"/>
              </w:rPr>
            </w:pPr>
            <w:r>
              <w:rPr>
                <w:lang w:eastAsia="en-AU"/>
              </w:rPr>
              <w:t>c</w:t>
            </w:r>
            <w:r w:rsidR="00260A07">
              <w:rPr>
                <w:lang w:eastAsia="en-AU"/>
              </w:rPr>
              <w:t>ommunity values reflected in place-based planning</w:t>
            </w:r>
          </w:p>
        </w:tc>
        <w:tc>
          <w:tcPr>
            <w:tcW w:w="2265" w:type="dxa"/>
          </w:tcPr>
          <w:p w14:paraId="2EAC4CF7" w14:textId="77777777" w:rsidR="00260A07" w:rsidRPr="00E92304" w:rsidRDefault="00260A07" w:rsidP="00584993">
            <w:pPr>
              <w:pStyle w:val="BodyText"/>
            </w:pPr>
            <w:r>
              <w:t>High impact</w:t>
            </w:r>
          </w:p>
        </w:tc>
      </w:tr>
      <w:tr w:rsidR="00260A07" w14:paraId="7B61D0B9" w14:textId="77777777" w:rsidTr="00584993">
        <w:tc>
          <w:tcPr>
            <w:tcW w:w="7354" w:type="dxa"/>
          </w:tcPr>
          <w:p w14:paraId="6D300D37" w14:textId="77777777" w:rsidR="00260A07" w:rsidRDefault="00260A07" w:rsidP="00584993">
            <w:pPr>
              <w:pStyle w:val="BodyText"/>
              <w:rPr>
                <w:lang w:eastAsia="en-AU"/>
              </w:rPr>
            </w:pPr>
            <w:r w:rsidRPr="00450552">
              <w:rPr>
                <w:lang w:eastAsia="en-AU"/>
              </w:rPr>
              <w:t>jobs, economic opportunity and innovation</w:t>
            </w:r>
          </w:p>
        </w:tc>
        <w:tc>
          <w:tcPr>
            <w:tcW w:w="2265" w:type="dxa"/>
          </w:tcPr>
          <w:p w14:paraId="6777D636" w14:textId="77777777" w:rsidR="00260A07" w:rsidRDefault="00260A07" w:rsidP="00584993">
            <w:pPr>
              <w:pStyle w:val="BodyText"/>
              <w:rPr>
                <w:lang w:eastAsia="en-AU"/>
              </w:rPr>
            </w:pPr>
            <w:r>
              <w:t xml:space="preserve">Medium </w:t>
            </w:r>
            <w:r w:rsidRPr="00E92304">
              <w:t>Impact</w:t>
            </w:r>
          </w:p>
        </w:tc>
      </w:tr>
    </w:tbl>
    <w:p w14:paraId="3949D07C" w14:textId="77777777" w:rsidR="00260A07" w:rsidRDefault="00260A07" w:rsidP="00A7150B">
      <w:pPr>
        <w:pStyle w:val="BodyText"/>
        <w:rPr>
          <w:lang w:eastAsia="en-AU"/>
        </w:rPr>
      </w:pPr>
    </w:p>
    <w:p w14:paraId="6214A9FC" w14:textId="551D4294" w:rsidR="00843DD7" w:rsidRDefault="00826925" w:rsidP="00826925">
      <w:pPr>
        <w:pStyle w:val="Heading2"/>
      </w:pPr>
      <w:bookmarkStart w:id="71" w:name="_Toc117694683"/>
      <w:r>
        <w:t>Stormwater Management Plan</w:t>
      </w:r>
      <w:bookmarkEnd w:id="71"/>
      <w:r>
        <w:t xml:space="preserve"> </w:t>
      </w:r>
    </w:p>
    <w:p w14:paraId="725BF5ED" w14:textId="1D06AE81" w:rsidR="00826925" w:rsidRDefault="00826925" w:rsidP="00826925">
      <w:pPr>
        <w:pStyle w:val="BodyText"/>
        <w:rPr>
          <w:lang w:eastAsia="en-AU"/>
        </w:rPr>
      </w:pPr>
      <w:r>
        <w:rPr>
          <w:lang w:eastAsia="en-AU"/>
        </w:rPr>
        <w:t xml:space="preserve">The Stormwater Management Plan is one of the top East Gippsland IWM Forum SDS priorities and was partially identified and included in the Bairnsdale IWM Plan. </w:t>
      </w:r>
    </w:p>
    <w:p w14:paraId="23D8812C" w14:textId="7887E92E" w:rsidR="00826925" w:rsidRDefault="00826925" w:rsidP="00826925">
      <w:pPr>
        <w:pStyle w:val="BodyText"/>
        <w:rPr>
          <w:lang w:eastAsia="en-AU"/>
        </w:rPr>
      </w:pPr>
      <w:r>
        <w:rPr>
          <w:lang w:eastAsia="en-AU"/>
        </w:rPr>
        <w:t xml:space="preserve">East Gippsland Shire Council has committed funding to the initial stormwater management plan for East Gippsland. The plan will also contribute to the incorporation of IWM and WSUD into future developments and renewals. </w:t>
      </w:r>
    </w:p>
    <w:p w14:paraId="586628C7" w14:textId="43E0495B" w:rsidR="00826925" w:rsidRDefault="00826925" w:rsidP="00826925">
      <w:pPr>
        <w:pStyle w:val="BodyText"/>
        <w:rPr>
          <w:lang w:eastAsia="en-AU"/>
        </w:rPr>
      </w:pPr>
      <w:r>
        <w:rPr>
          <w:lang w:eastAsia="en-AU"/>
        </w:rPr>
        <w:t>Identifying future WSUD projects, will provide opportunities to continue to develop wetland landscaping works with GLaWAC, and communities.</w:t>
      </w:r>
    </w:p>
    <w:p w14:paraId="4B8BA2E3" w14:textId="43EDE760" w:rsidR="0030733C" w:rsidRDefault="0030733C" w:rsidP="0030733C">
      <w:pPr>
        <w:pStyle w:val="CaptionImageorFigure"/>
      </w:pPr>
      <w:bookmarkStart w:id="72" w:name="_Hlk116461984"/>
      <w:r>
        <w:t>Table 8: A summary of key details for the</w:t>
      </w:r>
      <w:r w:rsidRPr="00260A07">
        <w:t xml:space="preserve"> </w:t>
      </w:r>
      <w:r>
        <w:t>Stormwater Management Plan opportunity</w:t>
      </w:r>
    </w:p>
    <w:tbl>
      <w:tblPr>
        <w:tblStyle w:val="TableGrid"/>
        <w:tblW w:w="9648" w:type="dxa"/>
        <w:tblInd w:w="-10" w:type="dxa"/>
        <w:tblLook w:val="04A0" w:firstRow="1" w:lastRow="0" w:firstColumn="1" w:lastColumn="0" w:noHBand="0" w:noVBand="1"/>
      </w:tblPr>
      <w:tblGrid>
        <w:gridCol w:w="10"/>
        <w:gridCol w:w="2258"/>
        <w:gridCol w:w="10"/>
        <w:gridCol w:w="7360"/>
        <w:gridCol w:w="10"/>
      </w:tblGrid>
      <w:tr w:rsidR="0030733C" w14:paraId="2500CDB0" w14:textId="77777777" w:rsidTr="00E64BEE">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0000000100" w:firstRow="0" w:lastRow="0" w:firstColumn="0" w:lastColumn="0" w:oddVBand="0" w:evenVBand="0" w:oddHBand="0" w:evenHBand="0" w:firstRowFirstColumn="1" w:firstRowLastColumn="0" w:lastRowFirstColumn="0" w:lastRowLastColumn="0"/>
            <w:tcW w:w="2268" w:type="dxa"/>
            <w:gridSpan w:val="2"/>
          </w:tcPr>
          <w:p w14:paraId="46F4AAE4" w14:textId="77777777" w:rsidR="0030733C" w:rsidRPr="003E3DC3" w:rsidRDefault="0030733C" w:rsidP="00584993">
            <w:pPr>
              <w:pStyle w:val="TableHeadingLeft"/>
              <w:rPr>
                <w:sz w:val="24"/>
                <w:szCs w:val="36"/>
              </w:rPr>
            </w:pPr>
            <w:r w:rsidRPr="003E3DC3">
              <w:rPr>
                <w:sz w:val="24"/>
                <w:szCs w:val="36"/>
              </w:rPr>
              <w:t>Subject</w:t>
            </w:r>
          </w:p>
        </w:tc>
        <w:tc>
          <w:tcPr>
            <w:tcW w:w="7370" w:type="dxa"/>
            <w:gridSpan w:val="2"/>
          </w:tcPr>
          <w:p w14:paraId="334CD129" w14:textId="77777777" w:rsidR="0030733C" w:rsidRPr="003E3DC3" w:rsidRDefault="0030733C"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30733C" w14:paraId="38C714F7" w14:textId="77777777" w:rsidTr="00E64BEE">
        <w:trPr>
          <w:gridAfter w:val="1"/>
          <w:wAfter w:w="10" w:type="dxa"/>
        </w:trPr>
        <w:tc>
          <w:tcPr>
            <w:tcW w:w="2268" w:type="dxa"/>
            <w:gridSpan w:val="2"/>
          </w:tcPr>
          <w:p w14:paraId="2ADFB0D4" w14:textId="77777777" w:rsidR="0030733C" w:rsidRPr="003E3DC3" w:rsidRDefault="0030733C" w:rsidP="00E64BEE">
            <w:pPr>
              <w:pStyle w:val="BodyText"/>
              <w:rPr>
                <w:b/>
                <w:bCs/>
              </w:rPr>
            </w:pPr>
            <w:r w:rsidRPr="003E3DC3">
              <w:rPr>
                <w:b/>
                <w:bCs/>
              </w:rPr>
              <w:t>Status</w:t>
            </w:r>
          </w:p>
        </w:tc>
        <w:tc>
          <w:tcPr>
            <w:tcW w:w="7370" w:type="dxa"/>
            <w:gridSpan w:val="2"/>
          </w:tcPr>
          <w:p w14:paraId="628F9153" w14:textId="36CE3B97" w:rsidR="0030733C" w:rsidRPr="003E3DC3" w:rsidRDefault="00E64BEE" w:rsidP="00E64BEE">
            <w:pPr>
              <w:pStyle w:val="BodyText"/>
            </w:pPr>
            <w:r>
              <w:t xml:space="preserve">Committed </w:t>
            </w:r>
          </w:p>
        </w:tc>
      </w:tr>
      <w:tr w:rsidR="0030733C" w14:paraId="059DCFAC" w14:textId="77777777" w:rsidTr="00E64BEE">
        <w:trPr>
          <w:gridAfter w:val="1"/>
          <w:wAfter w:w="10" w:type="dxa"/>
        </w:trPr>
        <w:tc>
          <w:tcPr>
            <w:tcW w:w="2268" w:type="dxa"/>
            <w:gridSpan w:val="2"/>
          </w:tcPr>
          <w:p w14:paraId="487C0C37" w14:textId="77777777" w:rsidR="0030733C" w:rsidRPr="003E3DC3" w:rsidRDefault="0030733C" w:rsidP="00E64BEE">
            <w:pPr>
              <w:pStyle w:val="BodyText"/>
              <w:rPr>
                <w:b/>
                <w:bCs/>
              </w:rPr>
            </w:pPr>
            <w:r w:rsidRPr="003E3DC3">
              <w:rPr>
                <w:b/>
                <w:bCs/>
              </w:rPr>
              <w:t xml:space="preserve">Lead </w:t>
            </w:r>
            <w:r>
              <w:rPr>
                <w:b/>
                <w:bCs/>
              </w:rPr>
              <w:t>agency</w:t>
            </w:r>
          </w:p>
        </w:tc>
        <w:tc>
          <w:tcPr>
            <w:tcW w:w="7370" w:type="dxa"/>
            <w:gridSpan w:val="2"/>
          </w:tcPr>
          <w:p w14:paraId="59ED7491" w14:textId="5D2C69D1" w:rsidR="0030733C" w:rsidRPr="003E3DC3" w:rsidRDefault="0030733C" w:rsidP="00E64BEE">
            <w:pPr>
              <w:pStyle w:val="BodyText"/>
            </w:pPr>
            <w:r>
              <w:t>East Gippsland Shire Council</w:t>
            </w:r>
          </w:p>
        </w:tc>
      </w:tr>
      <w:tr w:rsidR="0030733C" w14:paraId="6A51C4D5" w14:textId="77777777" w:rsidTr="00E64BEE">
        <w:trPr>
          <w:gridAfter w:val="1"/>
          <w:wAfter w:w="10" w:type="dxa"/>
        </w:trPr>
        <w:tc>
          <w:tcPr>
            <w:tcW w:w="2268" w:type="dxa"/>
            <w:gridSpan w:val="2"/>
          </w:tcPr>
          <w:p w14:paraId="1234A9AB" w14:textId="77777777" w:rsidR="0030733C" w:rsidRPr="003E3DC3" w:rsidRDefault="0030733C" w:rsidP="00E64BEE">
            <w:pPr>
              <w:pStyle w:val="BodyText"/>
              <w:rPr>
                <w:b/>
                <w:bCs/>
              </w:rPr>
            </w:pPr>
            <w:r w:rsidRPr="003E3DC3">
              <w:rPr>
                <w:b/>
                <w:bCs/>
              </w:rPr>
              <w:t>Implementation partners</w:t>
            </w:r>
          </w:p>
        </w:tc>
        <w:tc>
          <w:tcPr>
            <w:tcW w:w="7370" w:type="dxa"/>
            <w:gridSpan w:val="2"/>
          </w:tcPr>
          <w:p w14:paraId="095DB0BC" w14:textId="3687AAFA" w:rsidR="0030733C" w:rsidRPr="003E3DC3" w:rsidRDefault="0030733C" w:rsidP="00E64BEE">
            <w:pPr>
              <w:pStyle w:val="BodyText"/>
            </w:pPr>
            <w:r>
              <w:t>East Gippsland</w:t>
            </w:r>
            <w:r w:rsidR="00515171">
              <w:t xml:space="preserve"> Water and East Gippsland</w:t>
            </w:r>
            <w:r>
              <w:t xml:space="preserve"> Catchment Management Authority</w:t>
            </w:r>
          </w:p>
        </w:tc>
      </w:tr>
      <w:tr w:rsidR="0030733C" w14:paraId="7AC53CDC" w14:textId="77777777" w:rsidTr="00E64BEE">
        <w:trPr>
          <w:gridAfter w:val="1"/>
          <w:wAfter w:w="10" w:type="dxa"/>
        </w:trPr>
        <w:tc>
          <w:tcPr>
            <w:tcW w:w="2268" w:type="dxa"/>
            <w:gridSpan w:val="2"/>
          </w:tcPr>
          <w:p w14:paraId="5DF9037B" w14:textId="77777777" w:rsidR="0030733C" w:rsidRPr="003E3DC3" w:rsidRDefault="0030733C" w:rsidP="00E64BEE">
            <w:pPr>
              <w:pStyle w:val="BodyText"/>
              <w:rPr>
                <w:b/>
                <w:bCs/>
              </w:rPr>
            </w:pPr>
            <w:r w:rsidRPr="003E3DC3">
              <w:rPr>
                <w:b/>
                <w:bCs/>
              </w:rPr>
              <w:t>Location</w:t>
            </w:r>
          </w:p>
        </w:tc>
        <w:tc>
          <w:tcPr>
            <w:tcW w:w="7370" w:type="dxa"/>
            <w:gridSpan w:val="2"/>
          </w:tcPr>
          <w:p w14:paraId="3507794D" w14:textId="0950CE38" w:rsidR="0030733C" w:rsidRPr="003E3DC3" w:rsidRDefault="00515171" w:rsidP="00E64BEE">
            <w:pPr>
              <w:pStyle w:val="BodyText"/>
            </w:pPr>
            <w:r>
              <w:t>East Gippsland</w:t>
            </w:r>
          </w:p>
        </w:tc>
      </w:tr>
      <w:tr w:rsidR="0030733C" w14:paraId="0EAC7BFB" w14:textId="77777777" w:rsidTr="00E64BEE">
        <w:trPr>
          <w:gridAfter w:val="1"/>
          <w:wAfter w:w="10" w:type="dxa"/>
        </w:trPr>
        <w:tc>
          <w:tcPr>
            <w:tcW w:w="2268" w:type="dxa"/>
            <w:gridSpan w:val="2"/>
          </w:tcPr>
          <w:p w14:paraId="7BBCC578" w14:textId="77777777" w:rsidR="0030733C" w:rsidRPr="003E3DC3" w:rsidRDefault="0030733C" w:rsidP="00E64BEE">
            <w:pPr>
              <w:pStyle w:val="BodyText"/>
              <w:rPr>
                <w:b/>
                <w:bCs/>
              </w:rPr>
            </w:pPr>
            <w:r>
              <w:rPr>
                <w:b/>
                <w:bCs/>
              </w:rPr>
              <w:lastRenderedPageBreak/>
              <w:t>Scale</w:t>
            </w:r>
          </w:p>
        </w:tc>
        <w:tc>
          <w:tcPr>
            <w:tcW w:w="7370" w:type="dxa"/>
            <w:gridSpan w:val="2"/>
          </w:tcPr>
          <w:p w14:paraId="13F08F0C" w14:textId="52728609" w:rsidR="0030733C" w:rsidRDefault="00515171" w:rsidP="00E64BEE">
            <w:pPr>
              <w:pStyle w:val="BodyText"/>
            </w:pPr>
            <w:r>
              <w:t>Catchment</w:t>
            </w:r>
          </w:p>
        </w:tc>
      </w:tr>
    </w:tbl>
    <w:p w14:paraId="0A1CFDA4" w14:textId="18D22B77" w:rsidR="0030733C" w:rsidRDefault="0030733C" w:rsidP="0030733C">
      <w:pPr>
        <w:pStyle w:val="CaptionImageorFigure"/>
      </w:pPr>
      <w:r>
        <w:t>Table 9: A summary of the impact that the Stormwater Management Plan opportunity has towards achieving the IWM outcomes</w:t>
      </w:r>
    </w:p>
    <w:tbl>
      <w:tblPr>
        <w:tblStyle w:val="TableGrid"/>
        <w:tblW w:w="0" w:type="auto"/>
        <w:tblLook w:val="04A0" w:firstRow="1" w:lastRow="0" w:firstColumn="1" w:lastColumn="0" w:noHBand="0" w:noVBand="1"/>
      </w:tblPr>
      <w:tblGrid>
        <w:gridCol w:w="7354"/>
        <w:gridCol w:w="2265"/>
      </w:tblGrid>
      <w:tr w:rsidR="0030733C" w14:paraId="7BB8CC6C"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53B2B90" w14:textId="77777777" w:rsidR="0030733C" w:rsidRPr="003E3DC3" w:rsidRDefault="0030733C" w:rsidP="00584993">
            <w:pPr>
              <w:pStyle w:val="TableHeadingLeft"/>
              <w:rPr>
                <w:sz w:val="24"/>
                <w:szCs w:val="36"/>
              </w:rPr>
            </w:pPr>
            <w:r w:rsidRPr="003E3DC3">
              <w:rPr>
                <w:sz w:val="24"/>
                <w:szCs w:val="36"/>
              </w:rPr>
              <w:t>IWM outcome</w:t>
            </w:r>
          </w:p>
        </w:tc>
        <w:tc>
          <w:tcPr>
            <w:tcW w:w="2265" w:type="dxa"/>
          </w:tcPr>
          <w:p w14:paraId="1A02E285" w14:textId="77777777" w:rsidR="0030733C" w:rsidRPr="003E3DC3" w:rsidRDefault="0030733C"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30733C" w14:paraId="3BFE0BA8" w14:textId="77777777" w:rsidTr="00584993">
        <w:tc>
          <w:tcPr>
            <w:tcW w:w="7354" w:type="dxa"/>
          </w:tcPr>
          <w:p w14:paraId="7B874FB4" w14:textId="77777777" w:rsidR="0030733C" w:rsidRDefault="0030733C" w:rsidP="00584993">
            <w:pPr>
              <w:pStyle w:val="BodyText"/>
              <w:rPr>
                <w:lang w:eastAsia="en-AU"/>
              </w:rPr>
            </w:pPr>
            <w:r w:rsidRPr="002F5B60">
              <w:rPr>
                <w:lang w:eastAsia="en-AU"/>
              </w:rPr>
              <w:t>safe, secure and affordable supplies in a changing future</w:t>
            </w:r>
          </w:p>
        </w:tc>
        <w:tc>
          <w:tcPr>
            <w:tcW w:w="2265" w:type="dxa"/>
          </w:tcPr>
          <w:p w14:paraId="1109B1FE" w14:textId="7112191D" w:rsidR="0030733C" w:rsidRDefault="00515171" w:rsidP="00584993">
            <w:pPr>
              <w:pStyle w:val="BodyText"/>
              <w:rPr>
                <w:lang w:eastAsia="en-AU"/>
              </w:rPr>
            </w:pPr>
            <w:r>
              <w:t>Medium</w:t>
            </w:r>
            <w:r w:rsidR="0030733C">
              <w:t xml:space="preserve"> impact</w:t>
            </w:r>
          </w:p>
        </w:tc>
      </w:tr>
      <w:tr w:rsidR="0030733C" w14:paraId="6D34418F" w14:textId="77777777" w:rsidTr="00584993">
        <w:tc>
          <w:tcPr>
            <w:tcW w:w="7354" w:type="dxa"/>
          </w:tcPr>
          <w:p w14:paraId="1C11F038" w14:textId="77777777" w:rsidR="0030733C" w:rsidRDefault="0030733C" w:rsidP="00584993">
            <w:pPr>
              <w:pStyle w:val="BodyText"/>
              <w:rPr>
                <w:lang w:eastAsia="en-AU"/>
              </w:rPr>
            </w:pPr>
            <w:r w:rsidRPr="002F5B60">
              <w:rPr>
                <w:lang w:eastAsia="en-AU"/>
              </w:rPr>
              <w:t>effective and affordable wastewater systems</w:t>
            </w:r>
          </w:p>
        </w:tc>
        <w:tc>
          <w:tcPr>
            <w:tcW w:w="2265" w:type="dxa"/>
          </w:tcPr>
          <w:p w14:paraId="7739530E" w14:textId="6A2199C7" w:rsidR="0030733C" w:rsidRDefault="00515171" w:rsidP="00584993">
            <w:pPr>
              <w:pStyle w:val="BodyText"/>
              <w:rPr>
                <w:lang w:eastAsia="en-AU"/>
              </w:rPr>
            </w:pPr>
            <w:r>
              <w:t>Low</w:t>
            </w:r>
            <w:r w:rsidR="0030733C">
              <w:t xml:space="preserve"> impact</w:t>
            </w:r>
          </w:p>
        </w:tc>
      </w:tr>
      <w:tr w:rsidR="0030733C" w14:paraId="777E805C" w14:textId="77777777" w:rsidTr="00584993">
        <w:tc>
          <w:tcPr>
            <w:tcW w:w="7354" w:type="dxa"/>
          </w:tcPr>
          <w:p w14:paraId="08C4065C" w14:textId="77777777" w:rsidR="0030733C" w:rsidRDefault="0030733C" w:rsidP="00584993">
            <w:pPr>
              <w:pStyle w:val="BodyText"/>
              <w:rPr>
                <w:lang w:eastAsia="en-AU"/>
              </w:rPr>
            </w:pPr>
            <w:r w:rsidRPr="00450552">
              <w:rPr>
                <w:lang w:eastAsia="en-AU"/>
              </w:rPr>
              <w:t>manage flood risks</w:t>
            </w:r>
          </w:p>
        </w:tc>
        <w:tc>
          <w:tcPr>
            <w:tcW w:w="2265" w:type="dxa"/>
          </w:tcPr>
          <w:p w14:paraId="6334B131" w14:textId="77777777" w:rsidR="0030733C" w:rsidRDefault="0030733C" w:rsidP="00584993">
            <w:pPr>
              <w:pStyle w:val="BodyText"/>
              <w:rPr>
                <w:lang w:eastAsia="en-AU"/>
              </w:rPr>
            </w:pPr>
            <w:r>
              <w:rPr>
                <w:lang w:eastAsia="en-AU"/>
              </w:rPr>
              <w:t>Medium impact</w:t>
            </w:r>
          </w:p>
        </w:tc>
      </w:tr>
      <w:tr w:rsidR="0030733C" w14:paraId="5B9FE956" w14:textId="77777777" w:rsidTr="00584993">
        <w:tc>
          <w:tcPr>
            <w:tcW w:w="7354" w:type="dxa"/>
          </w:tcPr>
          <w:p w14:paraId="4B0F4846" w14:textId="77777777" w:rsidR="0030733C" w:rsidRDefault="0030733C" w:rsidP="00584993">
            <w:pPr>
              <w:pStyle w:val="BodyText"/>
              <w:rPr>
                <w:lang w:eastAsia="en-AU"/>
              </w:rPr>
            </w:pPr>
            <w:r w:rsidRPr="00450552">
              <w:rPr>
                <w:lang w:eastAsia="en-AU"/>
              </w:rPr>
              <w:t>healthy and valued waterways and waterbodies</w:t>
            </w:r>
          </w:p>
        </w:tc>
        <w:tc>
          <w:tcPr>
            <w:tcW w:w="2265" w:type="dxa"/>
          </w:tcPr>
          <w:p w14:paraId="24549334" w14:textId="626C49DE" w:rsidR="0030733C" w:rsidRDefault="00EB36DC" w:rsidP="00584993">
            <w:pPr>
              <w:pStyle w:val="BodyText"/>
              <w:rPr>
                <w:lang w:eastAsia="en-AU"/>
              </w:rPr>
            </w:pPr>
            <w:r>
              <w:t>Medium</w:t>
            </w:r>
            <w:r w:rsidR="0030733C">
              <w:t xml:space="preserve"> i</w:t>
            </w:r>
            <w:r w:rsidR="0030733C" w:rsidRPr="00E92304">
              <w:t>mpact</w:t>
            </w:r>
          </w:p>
        </w:tc>
      </w:tr>
      <w:tr w:rsidR="0030733C" w14:paraId="2EC4C12F" w14:textId="77777777" w:rsidTr="00584993">
        <w:tc>
          <w:tcPr>
            <w:tcW w:w="7354" w:type="dxa"/>
          </w:tcPr>
          <w:p w14:paraId="20C771F8" w14:textId="77777777" w:rsidR="0030733C" w:rsidRDefault="0030733C" w:rsidP="00584993">
            <w:pPr>
              <w:pStyle w:val="BodyText"/>
              <w:rPr>
                <w:lang w:eastAsia="en-AU"/>
              </w:rPr>
            </w:pPr>
            <w:r w:rsidRPr="00450552">
              <w:rPr>
                <w:lang w:eastAsia="en-AU"/>
              </w:rPr>
              <w:t>healthy and valued landscapes</w:t>
            </w:r>
          </w:p>
        </w:tc>
        <w:tc>
          <w:tcPr>
            <w:tcW w:w="2265" w:type="dxa"/>
          </w:tcPr>
          <w:p w14:paraId="1E6BF5E3" w14:textId="61C2BCE5" w:rsidR="0030733C" w:rsidRDefault="00EB36DC" w:rsidP="00E64BEE">
            <w:pPr>
              <w:pStyle w:val="BodyText"/>
              <w:rPr>
                <w:lang w:eastAsia="en-AU"/>
              </w:rPr>
            </w:pPr>
            <w:r>
              <w:t>High</w:t>
            </w:r>
            <w:r w:rsidR="0030733C">
              <w:t xml:space="preserve"> impact</w:t>
            </w:r>
          </w:p>
        </w:tc>
      </w:tr>
      <w:tr w:rsidR="0030733C" w14:paraId="15EE969D" w14:textId="77777777" w:rsidTr="00584993">
        <w:tc>
          <w:tcPr>
            <w:tcW w:w="7354" w:type="dxa"/>
          </w:tcPr>
          <w:p w14:paraId="4D33F8FF" w14:textId="77777777" w:rsidR="0030733C" w:rsidRDefault="0030733C"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5DE42F11" w14:textId="19C91298" w:rsidR="0030733C" w:rsidRDefault="00EB36DC" w:rsidP="00584993">
            <w:pPr>
              <w:pStyle w:val="BodyText"/>
              <w:rPr>
                <w:lang w:eastAsia="en-AU"/>
              </w:rPr>
            </w:pPr>
            <w:r>
              <w:t>Low</w:t>
            </w:r>
            <w:r w:rsidR="0030733C">
              <w:t xml:space="preserve"> impact</w:t>
            </w:r>
          </w:p>
        </w:tc>
      </w:tr>
      <w:tr w:rsidR="0030733C" w14:paraId="176C78C6" w14:textId="77777777" w:rsidTr="00584993">
        <w:tc>
          <w:tcPr>
            <w:tcW w:w="7354" w:type="dxa"/>
          </w:tcPr>
          <w:p w14:paraId="7D14CD0A" w14:textId="51DA22AF" w:rsidR="0030733C" w:rsidRPr="00450552" w:rsidRDefault="002954FB" w:rsidP="00584993">
            <w:pPr>
              <w:pStyle w:val="BodyText"/>
              <w:rPr>
                <w:lang w:eastAsia="en-AU"/>
              </w:rPr>
            </w:pPr>
            <w:r>
              <w:rPr>
                <w:lang w:eastAsia="en-AU"/>
              </w:rPr>
              <w:t>c</w:t>
            </w:r>
            <w:r w:rsidR="0030733C">
              <w:rPr>
                <w:lang w:eastAsia="en-AU"/>
              </w:rPr>
              <w:t>ommunity values reflected in place-based planning</w:t>
            </w:r>
          </w:p>
        </w:tc>
        <w:tc>
          <w:tcPr>
            <w:tcW w:w="2265" w:type="dxa"/>
          </w:tcPr>
          <w:p w14:paraId="220AE7D4" w14:textId="77777777" w:rsidR="0030733C" w:rsidRPr="00E92304" w:rsidRDefault="0030733C" w:rsidP="00584993">
            <w:pPr>
              <w:pStyle w:val="BodyText"/>
            </w:pPr>
            <w:r>
              <w:t>High impact</w:t>
            </w:r>
          </w:p>
        </w:tc>
      </w:tr>
      <w:tr w:rsidR="0030733C" w14:paraId="0A8896A6" w14:textId="77777777" w:rsidTr="00584993">
        <w:tc>
          <w:tcPr>
            <w:tcW w:w="7354" w:type="dxa"/>
          </w:tcPr>
          <w:p w14:paraId="376205B8" w14:textId="77777777" w:rsidR="0030733C" w:rsidRDefault="0030733C" w:rsidP="00584993">
            <w:pPr>
              <w:pStyle w:val="BodyText"/>
              <w:rPr>
                <w:lang w:eastAsia="en-AU"/>
              </w:rPr>
            </w:pPr>
            <w:r w:rsidRPr="00450552">
              <w:rPr>
                <w:lang w:eastAsia="en-AU"/>
              </w:rPr>
              <w:t>jobs, economic opportunity and innovation</w:t>
            </w:r>
          </w:p>
        </w:tc>
        <w:tc>
          <w:tcPr>
            <w:tcW w:w="2265" w:type="dxa"/>
          </w:tcPr>
          <w:p w14:paraId="468229C0" w14:textId="77777777" w:rsidR="0030733C" w:rsidRDefault="0030733C" w:rsidP="00584993">
            <w:pPr>
              <w:pStyle w:val="BodyText"/>
              <w:rPr>
                <w:lang w:eastAsia="en-AU"/>
              </w:rPr>
            </w:pPr>
            <w:r>
              <w:t xml:space="preserve">Medium </w:t>
            </w:r>
            <w:r w:rsidRPr="00E92304">
              <w:t>Impact</w:t>
            </w:r>
          </w:p>
        </w:tc>
      </w:tr>
      <w:bookmarkEnd w:id="72"/>
    </w:tbl>
    <w:p w14:paraId="7ECD5722" w14:textId="77777777" w:rsidR="0030733C" w:rsidRDefault="0030733C" w:rsidP="00826925">
      <w:pPr>
        <w:pStyle w:val="BodyText"/>
        <w:rPr>
          <w:lang w:eastAsia="en-AU"/>
        </w:rPr>
      </w:pPr>
    </w:p>
    <w:p w14:paraId="2146CFEC" w14:textId="0B2FBEDB" w:rsidR="00654B16" w:rsidRDefault="00622068" w:rsidP="007E4F2B">
      <w:pPr>
        <w:pStyle w:val="Heading2"/>
      </w:pPr>
      <w:bookmarkStart w:id="73" w:name="_Toc117694684"/>
      <w:r>
        <w:t xml:space="preserve">Recycled </w:t>
      </w:r>
      <w:r w:rsidR="007E4F2B">
        <w:t>W</w:t>
      </w:r>
      <w:r>
        <w:t xml:space="preserve">ater </w:t>
      </w:r>
      <w:r w:rsidR="007E4F2B">
        <w:t>Tre</w:t>
      </w:r>
      <w:r>
        <w:t xml:space="preserve">atment and </w:t>
      </w:r>
      <w:r w:rsidR="007E4F2B">
        <w:t>N</w:t>
      </w:r>
      <w:r>
        <w:t xml:space="preserve">etwork </w:t>
      </w:r>
      <w:r w:rsidR="007E4F2B">
        <w:t>P</w:t>
      </w:r>
      <w:r>
        <w:t>lan (Bairnsdale and Lakes Entranc</w:t>
      </w:r>
      <w:r w:rsidR="007E4F2B">
        <w:t>e)</w:t>
      </w:r>
      <w:bookmarkEnd w:id="73"/>
    </w:p>
    <w:p w14:paraId="15456284" w14:textId="08F4B8B8" w:rsidR="00FE32D7" w:rsidRDefault="00FE32D7" w:rsidP="00FE32D7">
      <w:pPr>
        <w:pStyle w:val="BodyText"/>
        <w:rPr>
          <w:lang w:eastAsia="en-AU"/>
        </w:rPr>
      </w:pPr>
      <w:r>
        <w:rPr>
          <w:lang w:eastAsia="en-AU"/>
        </w:rPr>
        <w:t xml:space="preserve">Greater than 95 per cent of recycled wastewater generated at the Bairnsdale wastewater treatment plant is discharged to Macleod Morass to manage saline intrusion. The remainder is used for irrigation of the Bairnsdale Racecourse. Broadening the use of recycled water throughout Bairnsdale would reduce reliance on potable water supplies, improving the town's resilience and water security, particularly during dry times. Recycled water is climate independent, a relatively reliable source that is suitable quality for irrigation of open spaces and gardens. </w:t>
      </w:r>
    </w:p>
    <w:p w14:paraId="26A836A2" w14:textId="77777777" w:rsidR="00426489" w:rsidRDefault="00FE32D7" w:rsidP="00426489">
      <w:pPr>
        <w:pStyle w:val="BodyText"/>
        <w:rPr>
          <w:lang w:eastAsia="en-AU"/>
        </w:rPr>
      </w:pPr>
      <w:r>
        <w:rPr>
          <w:lang w:eastAsia="en-AU"/>
        </w:rPr>
        <w:t>The opportunity is to develop a plan for the additional treatment required to improve the quality of recycled water to Class A and an extension of the recycled water network to meet additional irrigation demands that are aimed at greening Bairnsdale (for</w:t>
      </w:r>
      <w:r w:rsidR="00AB15B4">
        <w:rPr>
          <w:lang w:eastAsia="en-AU"/>
        </w:rPr>
        <w:t xml:space="preserve"> example, the Main St Gardens), meeting industrial end uses </w:t>
      </w:r>
      <w:r w:rsidR="00B1457A">
        <w:rPr>
          <w:lang w:eastAsia="en-AU"/>
        </w:rPr>
        <w:t xml:space="preserve">and irrigation </w:t>
      </w:r>
      <w:r w:rsidR="006C0ABF">
        <w:rPr>
          <w:lang w:eastAsia="en-AU"/>
        </w:rPr>
        <w:t xml:space="preserve">of other open spaces. Despite increased use of </w:t>
      </w:r>
      <w:r w:rsidR="00426489">
        <w:rPr>
          <w:lang w:eastAsia="en-AU"/>
        </w:rPr>
        <w:t xml:space="preserve">recycled water in Bairnsdale, the Macleod Morass wetlands will still be maintained by recycled water from the treatment plant. This is because expected growth in the region means there will be increased wastewater, and therefore recycled water, available. </w:t>
      </w:r>
    </w:p>
    <w:p w14:paraId="57C1346D" w14:textId="57866060" w:rsidR="007E4F2B" w:rsidRDefault="00426489" w:rsidP="00426489">
      <w:pPr>
        <w:pStyle w:val="BodyText"/>
        <w:rPr>
          <w:lang w:eastAsia="en-AU"/>
        </w:rPr>
      </w:pPr>
      <w:r>
        <w:rPr>
          <w:lang w:eastAsia="en-AU"/>
        </w:rPr>
        <w:lastRenderedPageBreak/>
        <w:t xml:space="preserve">Following the completion of the Lakes Entrance IWM plan (see next project), a more detailed plan for any improved treatment of recycled water and development of a network plan may also be required. </w:t>
      </w:r>
    </w:p>
    <w:p w14:paraId="7B09E294" w14:textId="38718517" w:rsidR="007A1601" w:rsidRDefault="007A1601" w:rsidP="007A1601">
      <w:pPr>
        <w:pStyle w:val="CaptionImageorFigure"/>
      </w:pPr>
      <w:bookmarkStart w:id="74" w:name="_Hlk116463084"/>
      <w:r>
        <w:t>Table 10: A summary of key details for the</w:t>
      </w:r>
      <w:r w:rsidR="001351AB" w:rsidRPr="001351AB">
        <w:t xml:space="preserve"> Recycled Water Treatment and Network Plan (Bairnsdale and Lakes Entrance)</w:t>
      </w:r>
      <w:r w:rsidRPr="00260A07">
        <w:t xml:space="preserve"> </w:t>
      </w:r>
      <w:r>
        <w:t>opportunity</w:t>
      </w:r>
    </w:p>
    <w:tbl>
      <w:tblPr>
        <w:tblStyle w:val="TableGrid"/>
        <w:tblW w:w="9648" w:type="dxa"/>
        <w:tblInd w:w="-10" w:type="dxa"/>
        <w:tblLook w:val="04A0" w:firstRow="1" w:lastRow="0" w:firstColumn="1" w:lastColumn="0" w:noHBand="0" w:noVBand="1"/>
      </w:tblPr>
      <w:tblGrid>
        <w:gridCol w:w="10"/>
        <w:gridCol w:w="2258"/>
        <w:gridCol w:w="10"/>
        <w:gridCol w:w="7360"/>
        <w:gridCol w:w="10"/>
      </w:tblGrid>
      <w:tr w:rsidR="007A1601" w14:paraId="3D36B900" w14:textId="77777777" w:rsidTr="00584993">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0000000100" w:firstRow="0" w:lastRow="0" w:firstColumn="0" w:lastColumn="0" w:oddVBand="0" w:evenVBand="0" w:oddHBand="0" w:evenHBand="0" w:firstRowFirstColumn="1" w:firstRowLastColumn="0" w:lastRowFirstColumn="0" w:lastRowLastColumn="0"/>
            <w:tcW w:w="2268" w:type="dxa"/>
            <w:gridSpan w:val="2"/>
          </w:tcPr>
          <w:p w14:paraId="454639CE" w14:textId="77777777" w:rsidR="007A1601" w:rsidRPr="003E3DC3" w:rsidRDefault="007A1601" w:rsidP="00584993">
            <w:pPr>
              <w:pStyle w:val="TableHeadingLeft"/>
              <w:rPr>
                <w:sz w:val="24"/>
                <w:szCs w:val="36"/>
              </w:rPr>
            </w:pPr>
            <w:r w:rsidRPr="003E3DC3">
              <w:rPr>
                <w:sz w:val="24"/>
                <w:szCs w:val="36"/>
              </w:rPr>
              <w:t>Subject</w:t>
            </w:r>
          </w:p>
        </w:tc>
        <w:tc>
          <w:tcPr>
            <w:tcW w:w="7370" w:type="dxa"/>
            <w:gridSpan w:val="2"/>
          </w:tcPr>
          <w:p w14:paraId="32247F5C" w14:textId="77777777" w:rsidR="007A1601" w:rsidRPr="003E3DC3" w:rsidRDefault="007A1601"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7A1601" w14:paraId="1898FF06" w14:textId="77777777" w:rsidTr="00584993">
        <w:trPr>
          <w:gridAfter w:val="1"/>
          <w:wAfter w:w="10" w:type="dxa"/>
        </w:trPr>
        <w:tc>
          <w:tcPr>
            <w:tcW w:w="2268" w:type="dxa"/>
            <w:gridSpan w:val="2"/>
          </w:tcPr>
          <w:p w14:paraId="776400E6" w14:textId="77777777" w:rsidR="007A1601" w:rsidRPr="003E3DC3" w:rsidRDefault="007A1601" w:rsidP="00584993">
            <w:pPr>
              <w:pStyle w:val="BodyText"/>
              <w:rPr>
                <w:b/>
                <w:bCs/>
              </w:rPr>
            </w:pPr>
            <w:r w:rsidRPr="003E3DC3">
              <w:rPr>
                <w:b/>
                <w:bCs/>
              </w:rPr>
              <w:t>Status</w:t>
            </w:r>
          </w:p>
        </w:tc>
        <w:tc>
          <w:tcPr>
            <w:tcW w:w="7370" w:type="dxa"/>
            <w:gridSpan w:val="2"/>
          </w:tcPr>
          <w:p w14:paraId="528377D5" w14:textId="32053859" w:rsidR="007A1601" w:rsidRPr="003E3DC3" w:rsidRDefault="004B5BB3" w:rsidP="00584993">
            <w:pPr>
              <w:pStyle w:val="BodyText"/>
            </w:pPr>
            <w:r>
              <w:t>Identified</w:t>
            </w:r>
          </w:p>
        </w:tc>
      </w:tr>
      <w:tr w:rsidR="007A1601" w14:paraId="72B8F972" w14:textId="77777777" w:rsidTr="00584993">
        <w:trPr>
          <w:gridAfter w:val="1"/>
          <w:wAfter w:w="10" w:type="dxa"/>
        </w:trPr>
        <w:tc>
          <w:tcPr>
            <w:tcW w:w="2268" w:type="dxa"/>
            <w:gridSpan w:val="2"/>
          </w:tcPr>
          <w:p w14:paraId="407C3816" w14:textId="77777777" w:rsidR="007A1601" w:rsidRPr="003E3DC3" w:rsidRDefault="007A1601" w:rsidP="00584993">
            <w:pPr>
              <w:pStyle w:val="BodyText"/>
              <w:rPr>
                <w:b/>
                <w:bCs/>
              </w:rPr>
            </w:pPr>
            <w:r w:rsidRPr="003E3DC3">
              <w:rPr>
                <w:b/>
                <w:bCs/>
              </w:rPr>
              <w:t xml:space="preserve">Lead </w:t>
            </w:r>
            <w:r>
              <w:rPr>
                <w:b/>
                <w:bCs/>
              </w:rPr>
              <w:t>agency</w:t>
            </w:r>
          </w:p>
        </w:tc>
        <w:tc>
          <w:tcPr>
            <w:tcW w:w="7370" w:type="dxa"/>
            <w:gridSpan w:val="2"/>
          </w:tcPr>
          <w:p w14:paraId="78807297" w14:textId="406D5109" w:rsidR="007A1601" w:rsidRPr="003E3DC3" w:rsidRDefault="007A1601" w:rsidP="00584993">
            <w:pPr>
              <w:pStyle w:val="BodyText"/>
            </w:pPr>
            <w:r>
              <w:t>East Gippsl</w:t>
            </w:r>
            <w:r w:rsidR="004B5BB3">
              <w:t>and Water and East Gippsland Shire Council</w:t>
            </w:r>
          </w:p>
        </w:tc>
      </w:tr>
      <w:tr w:rsidR="007A1601" w14:paraId="6EC06B1C" w14:textId="77777777" w:rsidTr="00584993">
        <w:trPr>
          <w:gridAfter w:val="1"/>
          <w:wAfter w:w="10" w:type="dxa"/>
        </w:trPr>
        <w:tc>
          <w:tcPr>
            <w:tcW w:w="2268" w:type="dxa"/>
            <w:gridSpan w:val="2"/>
          </w:tcPr>
          <w:p w14:paraId="3D468E83" w14:textId="77777777" w:rsidR="007A1601" w:rsidRPr="003E3DC3" w:rsidRDefault="007A1601" w:rsidP="00584993">
            <w:pPr>
              <w:pStyle w:val="BodyText"/>
              <w:rPr>
                <w:b/>
                <w:bCs/>
              </w:rPr>
            </w:pPr>
            <w:r w:rsidRPr="003E3DC3">
              <w:rPr>
                <w:b/>
                <w:bCs/>
              </w:rPr>
              <w:t>Implementation partners</w:t>
            </w:r>
          </w:p>
        </w:tc>
        <w:tc>
          <w:tcPr>
            <w:tcW w:w="7370" w:type="dxa"/>
            <w:gridSpan w:val="2"/>
          </w:tcPr>
          <w:p w14:paraId="56D61A6B" w14:textId="1BC15BA2" w:rsidR="007A1601" w:rsidRPr="003E3DC3" w:rsidRDefault="007A1601" w:rsidP="00584993">
            <w:pPr>
              <w:pStyle w:val="BodyText"/>
            </w:pPr>
            <w:r>
              <w:t>East Gippsland Catchment Management Authority</w:t>
            </w:r>
            <w:r w:rsidR="00F24085">
              <w:t>, Gunaikurnai Land and Waters Aboriginal Corporation, Parks Victoria</w:t>
            </w:r>
          </w:p>
        </w:tc>
      </w:tr>
      <w:tr w:rsidR="007A1601" w14:paraId="76439FA6" w14:textId="77777777" w:rsidTr="00584993">
        <w:trPr>
          <w:gridAfter w:val="1"/>
          <w:wAfter w:w="10" w:type="dxa"/>
        </w:trPr>
        <w:tc>
          <w:tcPr>
            <w:tcW w:w="2268" w:type="dxa"/>
            <w:gridSpan w:val="2"/>
          </w:tcPr>
          <w:p w14:paraId="66DA151E" w14:textId="77777777" w:rsidR="007A1601" w:rsidRPr="003E3DC3" w:rsidRDefault="007A1601" w:rsidP="00584993">
            <w:pPr>
              <w:pStyle w:val="BodyText"/>
              <w:rPr>
                <w:b/>
                <w:bCs/>
              </w:rPr>
            </w:pPr>
            <w:r w:rsidRPr="003E3DC3">
              <w:rPr>
                <w:b/>
                <w:bCs/>
              </w:rPr>
              <w:t>Location</w:t>
            </w:r>
          </w:p>
        </w:tc>
        <w:tc>
          <w:tcPr>
            <w:tcW w:w="7370" w:type="dxa"/>
            <w:gridSpan w:val="2"/>
          </w:tcPr>
          <w:p w14:paraId="57691B28" w14:textId="75DFA2D1" w:rsidR="007A1601" w:rsidRPr="003E3DC3" w:rsidRDefault="00F24085" w:rsidP="00584993">
            <w:pPr>
              <w:pStyle w:val="BodyText"/>
            </w:pPr>
            <w:r>
              <w:t>Bairnsdale and Lakes Entrance</w:t>
            </w:r>
          </w:p>
        </w:tc>
      </w:tr>
      <w:tr w:rsidR="007A1601" w14:paraId="13DD5372" w14:textId="77777777" w:rsidTr="00584993">
        <w:trPr>
          <w:gridAfter w:val="1"/>
          <w:wAfter w:w="10" w:type="dxa"/>
        </w:trPr>
        <w:tc>
          <w:tcPr>
            <w:tcW w:w="2268" w:type="dxa"/>
            <w:gridSpan w:val="2"/>
          </w:tcPr>
          <w:p w14:paraId="1B50A682" w14:textId="77777777" w:rsidR="007A1601" w:rsidRPr="003E3DC3" w:rsidRDefault="007A1601" w:rsidP="00584993">
            <w:pPr>
              <w:pStyle w:val="BodyText"/>
              <w:rPr>
                <w:b/>
                <w:bCs/>
              </w:rPr>
            </w:pPr>
            <w:r>
              <w:rPr>
                <w:b/>
                <w:bCs/>
              </w:rPr>
              <w:t>Scale</w:t>
            </w:r>
          </w:p>
        </w:tc>
        <w:tc>
          <w:tcPr>
            <w:tcW w:w="7370" w:type="dxa"/>
            <w:gridSpan w:val="2"/>
          </w:tcPr>
          <w:p w14:paraId="00107ECE" w14:textId="15C761C6" w:rsidR="007A1601" w:rsidRDefault="00F24085" w:rsidP="00584993">
            <w:pPr>
              <w:pStyle w:val="BodyText"/>
            </w:pPr>
            <w:r>
              <w:t>Town</w:t>
            </w:r>
          </w:p>
        </w:tc>
      </w:tr>
    </w:tbl>
    <w:p w14:paraId="2CD6EF25" w14:textId="760BA44F" w:rsidR="007A1601" w:rsidRDefault="007A1601" w:rsidP="007A1601">
      <w:pPr>
        <w:pStyle w:val="CaptionImageorFigure"/>
      </w:pPr>
      <w:r>
        <w:t>Table 11: A summary of the impact that the</w:t>
      </w:r>
      <w:r w:rsidR="001351AB" w:rsidRPr="001351AB">
        <w:t xml:space="preserve"> Recycled Water Treatment and Network Plan (Bairnsdale and Lakes Entrance)</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7A1601" w14:paraId="6B5B13A1"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4CA11E73" w14:textId="77777777" w:rsidR="007A1601" w:rsidRPr="003E3DC3" w:rsidRDefault="007A1601" w:rsidP="00584993">
            <w:pPr>
              <w:pStyle w:val="TableHeadingLeft"/>
              <w:rPr>
                <w:sz w:val="24"/>
                <w:szCs w:val="36"/>
              </w:rPr>
            </w:pPr>
            <w:r w:rsidRPr="003E3DC3">
              <w:rPr>
                <w:sz w:val="24"/>
                <w:szCs w:val="36"/>
              </w:rPr>
              <w:t>IWM outcome</w:t>
            </w:r>
          </w:p>
        </w:tc>
        <w:tc>
          <w:tcPr>
            <w:tcW w:w="2265" w:type="dxa"/>
          </w:tcPr>
          <w:p w14:paraId="5C19F865" w14:textId="77777777" w:rsidR="007A1601" w:rsidRPr="003E3DC3" w:rsidRDefault="007A1601"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A1601" w14:paraId="3B88DF91" w14:textId="77777777" w:rsidTr="00584993">
        <w:tc>
          <w:tcPr>
            <w:tcW w:w="7354" w:type="dxa"/>
          </w:tcPr>
          <w:p w14:paraId="200CF8A2" w14:textId="77777777" w:rsidR="007A1601" w:rsidRDefault="007A1601" w:rsidP="00584993">
            <w:pPr>
              <w:pStyle w:val="BodyText"/>
              <w:rPr>
                <w:lang w:eastAsia="en-AU"/>
              </w:rPr>
            </w:pPr>
            <w:r w:rsidRPr="002F5B60">
              <w:rPr>
                <w:lang w:eastAsia="en-AU"/>
              </w:rPr>
              <w:t>safe, secure and affordable supplies in a changing future</w:t>
            </w:r>
          </w:p>
        </w:tc>
        <w:tc>
          <w:tcPr>
            <w:tcW w:w="2265" w:type="dxa"/>
          </w:tcPr>
          <w:p w14:paraId="2CAB1D1E" w14:textId="25DBC853" w:rsidR="007A1601" w:rsidRDefault="002B4366" w:rsidP="00584993">
            <w:pPr>
              <w:pStyle w:val="BodyText"/>
              <w:rPr>
                <w:lang w:eastAsia="en-AU"/>
              </w:rPr>
            </w:pPr>
            <w:r>
              <w:t>High</w:t>
            </w:r>
            <w:r w:rsidR="007A1601">
              <w:t xml:space="preserve"> impact</w:t>
            </w:r>
          </w:p>
        </w:tc>
      </w:tr>
      <w:tr w:rsidR="007A1601" w14:paraId="7B573668" w14:textId="77777777" w:rsidTr="00584993">
        <w:tc>
          <w:tcPr>
            <w:tcW w:w="7354" w:type="dxa"/>
          </w:tcPr>
          <w:p w14:paraId="0CF58516" w14:textId="77777777" w:rsidR="007A1601" w:rsidRDefault="007A1601" w:rsidP="00584993">
            <w:pPr>
              <w:pStyle w:val="BodyText"/>
              <w:rPr>
                <w:lang w:eastAsia="en-AU"/>
              </w:rPr>
            </w:pPr>
            <w:r w:rsidRPr="002F5B60">
              <w:rPr>
                <w:lang w:eastAsia="en-AU"/>
              </w:rPr>
              <w:t>effective and affordable wastewater systems</w:t>
            </w:r>
          </w:p>
        </w:tc>
        <w:tc>
          <w:tcPr>
            <w:tcW w:w="2265" w:type="dxa"/>
          </w:tcPr>
          <w:p w14:paraId="41FF5470" w14:textId="59F7780E" w:rsidR="007A1601" w:rsidRDefault="002B4366" w:rsidP="00584993">
            <w:pPr>
              <w:pStyle w:val="BodyText"/>
              <w:rPr>
                <w:lang w:eastAsia="en-AU"/>
              </w:rPr>
            </w:pPr>
            <w:r>
              <w:t xml:space="preserve">High </w:t>
            </w:r>
            <w:r w:rsidR="007A1601">
              <w:t>impact</w:t>
            </w:r>
          </w:p>
        </w:tc>
      </w:tr>
      <w:tr w:rsidR="007A1601" w14:paraId="25779EF7" w14:textId="77777777" w:rsidTr="00584993">
        <w:tc>
          <w:tcPr>
            <w:tcW w:w="7354" w:type="dxa"/>
          </w:tcPr>
          <w:p w14:paraId="5BCF3F4C" w14:textId="77777777" w:rsidR="007A1601" w:rsidRDefault="007A1601" w:rsidP="00584993">
            <w:pPr>
              <w:pStyle w:val="BodyText"/>
              <w:rPr>
                <w:lang w:eastAsia="en-AU"/>
              </w:rPr>
            </w:pPr>
            <w:r w:rsidRPr="00450552">
              <w:rPr>
                <w:lang w:eastAsia="en-AU"/>
              </w:rPr>
              <w:t>manage flood risks</w:t>
            </w:r>
          </w:p>
        </w:tc>
        <w:tc>
          <w:tcPr>
            <w:tcW w:w="2265" w:type="dxa"/>
          </w:tcPr>
          <w:p w14:paraId="38BC28D7" w14:textId="7FC593E7" w:rsidR="007A1601" w:rsidRDefault="002B4366" w:rsidP="00584993">
            <w:pPr>
              <w:pStyle w:val="BodyText"/>
              <w:rPr>
                <w:lang w:eastAsia="en-AU"/>
              </w:rPr>
            </w:pPr>
            <w:r>
              <w:rPr>
                <w:lang w:eastAsia="en-AU"/>
              </w:rPr>
              <w:t>Low</w:t>
            </w:r>
            <w:r w:rsidR="007A1601">
              <w:rPr>
                <w:lang w:eastAsia="en-AU"/>
              </w:rPr>
              <w:t xml:space="preserve"> impact</w:t>
            </w:r>
          </w:p>
        </w:tc>
      </w:tr>
      <w:tr w:rsidR="007A1601" w14:paraId="19374AEA" w14:textId="77777777" w:rsidTr="00584993">
        <w:tc>
          <w:tcPr>
            <w:tcW w:w="7354" w:type="dxa"/>
          </w:tcPr>
          <w:p w14:paraId="791A41EB" w14:textId="77777777" w:rsidR="007A1601" w:rsidRDefault="007A1601" w:rsidP="00584993">
            <w:pPr>
              <w:pStyle w:val="BodyText"/>
              <w:rPr>
                <w:lang w:eastAsia="en-AU"/>
              </w:rPr>
            </w:pPr>
            <w:r w:rsidRPr="00450552">
              <w:rPr>
                <w:lang w:eastAsia="en-AU"/>
              </w:rPr>
              <w:t>healthy and valued waterways and waterbodies</w:t>
            </w:r>
          </w:p>
        </w:tc>
        <w:tc>
          <w:tcPr>
            <w:tcW w:w="2265" w:type="dxa"/>
          </w:tcPr>
          <w:p w14:paraId="7F5FCC8D" w14:textId="77777777" w:rsidR="007A1601" w:rsidRDefault="007A1601" w:rsidP="00584993">
            <w:pPr>
              <w:pStyle w:val="BodyText"/>
              <w:rPr>
                <w:lang w:eastAsia="en-AU"/>
              </w:rPr>
            </w:pPr>
            <w:r>
              <w:t>Medium i</w:t>
            </w:r>
            <w:r w:rsidRPr="00E92304">
              <w:t>mpact</w:t>
            </w:r>
          </w:p>
        </w:tc>
      </w:tr>
      <w:tr w:rsidR="007A1601" w14:paraId="79046544" w14:textId="77777777" w:rsidTr="00584993">
        <w:tc>
          <w:tcPr>
            <w:tcW w:w="7354" w:type="dxa"/>
          </w:tcPr>
          <w:p w14:paraId="7941B910" w14:textId="77777777" w:rsidR="007A1601" w:rsidRDefault="007A1601" w:rsidP="00584993">
            <w:pPr>
              <w:pStyle w:val="BodyText"/>
              <w:rPr>
                <w:lang w:eastAsia="en-AU"/>
              </w:rPr>
            </w:pPr>
            <w:r w:rsidRPr="00450552">
              <w:rPr>
                <w:lang w:eastAsia="en-AU"/>
              </w:rPr>
              <w:t>healthy and valued landscapes</w:t>
            </w:r>
          </w:p>
        </w:tc>
        <w:tc>
          <w:tcPr>
            <w:tcW w:w="2265" w:type="dxa"/>
          </w:tcPr>
          <w:p w14:paraId="696594A5" w14:textId="12DE96D2" w:rsidR="007A1601" w:rsidRDefault="002B4366" w:rsidP="00584993">
            <w:pPr>
              <w:pStyle w:val="BodyText"/>
              <w:rPr>
                <w:lang w:eastAsia="en-AU"/>
              </w:rPr>
            </w:pPr>
            <w:r>
              <w:t>Medium</w:t>
            </w:r>
            <w:r w:rsidR="007A1601">
              <w:t xml:space="preserve"> impact</w:t>
            </w:r>
          </w:p>
        </w:tc>
      </w:tr>
      <w:tr w:rsidR="007A1601" w14:paraId="235D56BF" w14:textId="77777777" w:rsidTr="00584993">
        <w:tc>
          <w:tcPr>
            <w:tcW w:w="7354" w:type="dxa"/>
          </w:tcPr>
          <w:p w14:paraId="38ADCE0D" w14:textId="77777777" w:rsidR="007A1601" w:rsidRDefault="007A1601"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7EC6955F" w14:textId="16BF980A" w:rsidR="007A1601" w:rsidRDefault="002B4366" w:rsidP="00584993">
            <w:pPr>
              <w:pStyle w:val="BodyText"/>
              <w:rPr>
                <w:lang w:eastAsia="en-AU"/>
              </w:rPr>
            </w:pPr>
            <w:r>
              <w:t>Medium</w:t>
            </w:r>
            <w:r w:rsidR="007A1601">
              <w:t xml:space="preserve"> impact</w:t>
            </w:r>
          </w:p>
        </w:tc>
      </w:tr>
      <w:tr w:rsidR="007A1601" w14:paraId="73DFB918" w14:textId="77777777" w:rsidTr="00584993">
        <w:tc>
          <w:tcPr>
            <w:tcW w:w="7354" w:type="dxa"/>
          </w:tcPr>
          <w:p w14:paraId="4ED5B354" w14:textId="37AB6C8D" w:rsidR="007A1601" w:rsidRPr="00450552" w:rsidRDefault="002954FB" w:rsidP="00584993">
            <w:pPr>
              <w:pStyle w:val="BodyText"/>
              <w:rPr>
                <w:lang w:eastAsia="en-AU"/>
              </w:rPr>
            </w:pPr>
            <w:r>
              <w:rPr>
                <w:lang w:eastAsia="en-AU"/>
              </w:rPr>
              <w:t>c</w:t>
            </w:r>
            <w:r w:rsidR="007A1601">
              <w:rPr>
                <w:lang w:eastAsia="en-AU"/>
              </w:rPr>
              <w:t>ommunity values reflected in place-based planning</w:t>
            </w:r>
          </w:p>
        </w:tc>
        <w:tc>
          <w:tcPr>
            <w:tcW w:w="2265" w:type="dxa"/>
          </w:tcPr>
          <w:p w14:paraId="774D8477" w14:textId="755D7E33" w:rsidR="007A1601" w:rsidRPr="00E92304" w:rsidRDefault="002B4366" w:rsidP="00584993">
            <w:pPr>
              <w:pStyle w:val="BodyText"/>
            </w:pPr>
            <w:r>
              <w:t>Medium</w:t>
            </w:r>
            <w:r w:rsidR="007A1601">
              <w:t xml:space="preserve"> impact</w:t>
            </w:r>
          </w:p>
        </w:tc>
      </w:tr>
      <w:tr w:rsidR="007A1601" w14:paraId="48B4E053" w14:textId="77777777" w:rsidTr="00584993">
        <w:tc>
          <w:tcPr>
            <w:tcW w:w="7354" w:type="dxa"/>
          </w:tcPr>
          <w:p w14:paraId="68CCD543" w14:textId="77777777" w:rsidR="007A1601" w:rsidRDefault="007A1601" w:rsidP="00584993">
            <w:pPr>
              <w:pStyle w:val="BodyText"/>
              <w:rPr>
                <w:lang w:eastAsia="en-AU"/>
              </w:rPr>
            </w:pPr>
            <w:r w:rsidRPr="00450552">
              <w:rPr>
                <w:lang w:eastAsia="en-AU"/>
              </w:rPr>
              <w:t>jobs, economic opportunity and innovation</w:t>
            </w:r>
          </w:p>
        </w:tc>
        <w:tc>
          <w:tcPr>
            <w:tcW w:w="2265" w:type="dxa"/>
          </w:tcPr>
          <w:p w14:paraId="151E5BCF" w14:textId="77777777" w:rsidR="007A1601" w:rsidRDefault="007A1601" w:rsidP="00584993">
            <w:pPr>
              <w:pStyle w:val="BodyText"/>
              <w:rPr>
                <w:lang w:eastAsia="en-AU"/>
              </w:rPr>
            </w:pPr>
            <w:r>
              <w:t xml:space="preserve">Medium </w:t>
            </w:r>
            <w:r w:rsidRPr="00E92304">
              <w:t>Impact</w:t>
            </w:r>
          </w:p>
        </w:tc>
      </w:tr>
      <w:bookmarkEnd w:id="74"/>
    </w:tbl>
    <w:p w14:paraId="12A97685" w14:textId="77777777" w:rsidR="007A1601" w:rsidRDefault="007A1601" w:rsidP="00426489">
      <w:pPr>
        <w:pStyle w:val="BodyText"/>
        <w:rPr>
          <w:lang w:eastAsia="en-AU"/>
        </w:rPr>
      </w:pPr>
    </w:p>
    <w:p w14:paraId="2C244B16" w14:textId="339BF95F" w:rsidR="002B4366" w:rsidRDefault="00EA501D" w:rsidP="00EA501D">
      <w:pPr>
        <w:pStyle w:val="Heading1TopofPage"/>
        <w:framePr w:wrap="around"/>
      </w:pPr>
      <w:bookmarkStart w:id="75" w:name="_Toc117694685"/>
      <w:r>
        <w:lastRenderedPageBreak/>
        <w:t>Improving waterway health</w:t>
      </w:r>
      <w:bookmarkEnd w:id="75"/>
    </w:p>
    <w:p w14:paraId="68451E1F" w14:textId="4F88EF56" w:rsidR="00EA501D" w:rsidRDefault="001B612F" w:rsidP="001B612F">
      <w:pPr>
        <w:pStyle w:val="IntroFeatureText"/>
      </w:pPr>
      <w:r>
        <w:t>The rivers, waterways, wetlands, and lakes of the region are vitally important for the wellbeing and recreation of residents, the wildlife of the region, and the local tourism sector, which supports jobs and economic growth. The following waterway health projects protect or restore ecosystems and riparian zones, reduce aquatic pollution, manage stormwater better, and allow people in the townships to live in closer harmony with the natural environment.</w:t>
      </w:r>
    </w:p>
    <w:p w14:paraId="6A702599" w14:textId="1EFFAE91" w:rsidR="005027B5" w:rsidRDefault="00D42FF9" w:rsidP="00D42FF9">
      <w:pPr>
        <w:pStyle w:val="Heading2"/>
      </w:pPr>
      <w:bookmarkStart w:id="76" w:name="_Toc117694686"/>
      <w:r>
        <w:t xml:space="preserve">Lakes </w:t>
      </w:r>
      <w:r w:rsidRPr="00D42FF9">
        <w:t>Entrance IWM Plan</w:t>
      </w:r>
      <w:bookmarkEnd w:id="76"/>
    </w:p>
    <w:p w14:paraId="4F976E86" w14:textId="1E099916" w:rsidR="00F701E9" w:rsidRDefault="006A23C9" w:rsidP="00F701E9">
      <w:pPr>
        <w:pStyle w:val="BodyText"/>
        <w:rPr>
          <w:lang w:eastAsia="en-AU"/>
        </w:rPr>
      </w:pPr>
      <w:r>
        <w:rPr>
          <w:lang w:eastAsia="en-AU"/>
        </w:rPr>
        <w:t xml:space="preserve">The Lakes Entrance area is a sufficiently complex urban and natural system to undertake a separate IWM planning process. </w:t>
      </w:r>
      <w:r w:rsidR="005409E0" w:rsidRPr="005409E0">
        <w:rPr>
          <w:lang w:eastAsia="en-AU"/>
        </w:rPr>
        <w:t>Greenfield development sites such as the Lakes Entrance</w:t>
      </w:r>
      <w:r w:rsidR="00F964E7" w:rsidRPr="00F964E7">
        <w:t xml:space="preserve"> </w:t>
      </w:r>
      <w:r w:rsidR="00F964E7" w:rsidRPr="00F964E7">
        <w:rPr>
          <w:lang w:eastAsia="en-AU"/>
        </w:rPr>
        <w:t>Northern Growth Area, for instance, present an opportunity</w:t>
      </w:r>
      <w:r w:rsidR="00F701E9" w:rsidRPr="00F701E9">
        <w:t xml:space="preserve"> </w:t>
      </w:r>
      <w:r w:rsidR="00F701E9">
        <w:rPr>
          <w:lang w:eastAsia="en-AU"/>
        </w:rPr>
        <w:t xml:space="preserve">to apply WSUD principles to conserving water, protecting and enhancing local waterways and reducing the footprint of development. The impact of climate change on rising lake levels also presents a particular challenge for urban water planning. </w:t>
      </w:r>
    </w:p>
    <w:p w14:paraId="66A21419" w14:textId="0CA4E08F" w:rsidR="00D42FF9" w:rsidRDefault="00F701E9" w:rsidP="00F701E9">
      <w:pPr>
        <w:pStyle w:val="BodyText"/>
        <w:rPr>
          <w:lang w:eastAsia="en-AU"/>
        </w:rPr>
      </w:pPr>
      <w:r>
        <w:rPr>
          <w:lang w:eastAsia="en-AU"/>
        </w:rPr>
        <w:t>There is an opportunity to incorporate IWM principles into the current development of the Lakes Entrance Growth and Adaptation Strategy and use the outcomes of the strategy to help develop the IWM Plan. The Lakes Entrance Growth and Adaptation Strategy is an East Gippsland Shire Council initiative</w:t>
      </w:r>
      <w:r w:rsidR="0081492D" w:rsidRPr="0081492D">
        <w:t xml:space="preserve"> </w:t>
      </w:r>
      <w:r w:rsidR="0081492D">
        <w:t>t</w:t>
      </w:r>
      <w:r w:rsidR="0081492D" w:rsidRPr="0081492D">
        <w:rPr>
          <w:lang w:eastAsia="en-AU"/>
        </w:rPr>
        <w:t>o develop a 35-year plan to take the Lakes Entrance community from one of the most vulnerable on the Victorian coast to having the most effective plan to adapt to anticipated climate</w:t>
      </w:r>
      <w:r w:rsidR="004C5798">
        <w:rPr>
          <w:lang w:eastAsia="en-AU"/>
        </w:rPr>
        <w:t xml:space="preserve"> change and urban growth pressures.</w:t>
      </w:r>
    </w:p>
    <w:p w14:paraId="371C108F" w14:textId="05C5C2FC" w:rsidR="004C5798" w:rsidRDefault="004C5798" w:rsidP="004C5798">
      <w:pPr>
        <w:pStyle w:val="BodyText"/>
        <w:rPr>
          <w:lang w:eastAsia="en-AU"/>
        </w:rPr>
      </w:pPr>
      <w:r>
        <w:rPr>
          <w:lang w:eastAsia="en-AU"/>
        </w:rPr>
        <w:t xml:space="preserve">There are also opportunities to explore the use of recycled water as a substitute for potable water for suitable public assets close to treated wastewater infrastructure, such as the Lake Bunga public toilets. The IWM Plan would also incorporate some of the key actions assigned to Lakes Entrance catchments in the East Gippsland Shire Council’s Urban Waterway Management Strategy, such actions for </w:t>
      </w:r>
      <w:proofErr w:type="spellStart"/>
      <w:r>
        <w:rPr>
          <w:lang w:eastAsia="en-AU"/>
        </w:rPr>
        <w:t>Merrangbaur</w:t>
      </w:r>
      <w:proofErr w:type="spellEnd"/>
      <w:r>
        <w:rPr>
          <w:lang w:eastAsia="en-AU"/>
        </w:rPr>
        <w:t xml:space="preserve"> Heights and Lake Bunga. </w:t>
      </w:r>
    </w:p>
    <w:p w14:paraId="4ECF9DAC" w14:textId="790D1D0B" w:rsidR="004C5798" w:rsidRDefault="004C5798" w:rsidP="004C5798">
      <w:pPr>
        <w:pStyle w:val="BodyText"/>
        <w:rPr>
          <w:lang w:eastAsia="en-AU"/>
        </w:rPr>
      </w:pPr>
      <w:r>
        <w:rPr>
          <w:lang w:eastAsia="en-AU"/>
        </w:rPr>
        <w:t>This project is carried over from the 2018 SDS and will draw on the experience of the Bairnsdale IWM Plan.</w:t>
      </w:r>
    </w:p>
    <w:p w14:paraId="3444611E" w14:textId="3C171189" w:rsidR="0091404D" w:rsidRDefault="0091404D" w:rsidP="0091404D">
      <w:pPr>
        <w:pStyle w:val="CaptionImageorFigure"/>
      </w:pPr>
      <w:r>
        <w:t>Table 12: A summary of key details for the</w:t>
      </w:r>
      <w:r w:rsidRPr="001351AB">
        <w:t xml:space="preserve"> </w:t>
      </w:r>
      <w:r>
        <w:t>Lakes Entrance IWM Plan opportunity</w:t>
      </w:r>
    </w:p>
    <w:tbl>
      <w:tblPr>
        <w:tblStyle w:val="TableGrid"/>
        <w:tblW w:w="9648" w:type="dxa"/>
        <w:tblInd w:w="-10" w:type="dxa"/>
        <w:tblLook w:val="04A0" w:firstRow="1" w:lastRow="0" w:firstColumn="1" w:lastColumn="0" w:noHBand="0" w:noVBand="1"/>
      </w:tblPr>
      <w:tblGrid>
        <w:gridCol w:w="10"/>
        <w:gridCol w:w="2258"/>
        <w:gridCol w:w="10"/>
        <w:gridCol w:w="7360"/>
        <w:gridCol w:w="10"/>
      </w:tblGrid>
      <w:tr w:rsidR="0091404D" w14:paraId="3EDBCE78" w14:textId="77777777" w:rsidTr="00584993">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0000000100" w:firstRow="0" w:lastRow="0" w:firstColumn="0" w:lastColumn="0" w:oddVBand="0" w:evenVBand="0" w:oddHBand="0" w:evenHBand="0" w:firstRowFirstColumn="1" w:firstRowLastColumn="0" w:lastRowFirstColumn="0" w:lastRowLastColumn="0"/>
            <w:tcW w:w="2268" w:type="dxa"/>
            <w:gridSpan w:val="2"/>
          </w:tcPr>
          <w:p w14:paraId="3E4E8B66" w14:textId="77777777" w:rsidR="0091404D" w:rsidRPr="003E3DC3" w:rsidRDefault="0091404D" w:rsidP="00584993">
            <w:pPr>
              <w:pStyle w:val="TableHeadingLeft"/>
              <w:rPr>
                <w:sz w:val="24"/>
                <w:szCs w:val="36"/>
              </w:rPr>
            </w:pPr>
            <w:r w:rsidRPr="003E3DC3">
              <w:rPr>
                <w:sz w:val="24"/>
                <w:szCs w:val="36"/>
              </w:rPr>
              <w:t>Subject</w:t>
            </w:r>
          </w:p>
        </w:tc>
        <w:tc>
          <w:tcPr>
            <w:tcW w:w="7370" w:type="dxa"/>
            <w:gridSpan w:val="2"/>
          </w:tcPr>
          <w:p w14:paraId="6646A2AE" w14:textId="77777777" w:rsidR="0091404D" w:rsidRPr="003E3DC3" w:rsidRDefault="0091404D"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91404D" w14:paraId="36344AEE" w14:textId="77777777" w:rsidTr="00584993">
        <w:trPr>
          <w:gridAfter w:val="1"/>
          <w:wAfter w:w="10" w:type="dxa"/>
        </w:trPr>
        <w:tc>
          <w:tcPr>
            <w:tcW w:w="2268" w:type="dxa"/>
            <w:gridSpan w:val="2"/>
          </w:tcPr>
          <w:p w14:paraId="118CA298" w14:textId="77777777" w:rsidR="0091404D" w:rsidRPr="003E3DC3" w:rsidRDefault="0091404D" w:rsidP="00584993">
            <w:pPr>
              <w:pStyle w:val="BodyText"/>
              <w:rPr>
                <w:b/>
                <w:bCs/>
              </w:rPr>
            </w:pPr>
            <w:r w:rsidRPr="003E3DC3">
              <w:rPr>
                <w:b/>
                <w:bCs/>
              </w:rPr>
              <w:t>Status</w:t>
            </w:r>
          </w:p>
        </w:tc>
        <w:tc>
          <w:tcPr>
            <w:tcW w:w="7370" w:type="dxa"/>
            <w:gridSpan w:val="2"/>
          </w:tcPr>
          <w:p w14:paraId="5B466241" w14:textId="2025A7B8" w:rsidR="0091404D" w:rsidRPr="003E3DC3" w:rsidRDefault="0091404D" w:rsidP="00584993">
            <w:pPr>
              <w:pStyle w:val="BodyText"/>
            </w:pPr>
            <w:r>
              <w:t>Committed</w:t>
            </w:r>
          </w:p>
        </w:tc>
      </w:tr>
      <w:tr w:rsidR="0091404D" w14:paraId="3FCB57CF" w14:textId="77777777" w:rsidTr="00584993">
        <w:trPr>
          <w:gridAfter w:val="1"/>
          <w:wAfter w:w="10" w:type="dxa"/>
        </w:trPr>
        <w:tc>
          <w:tcPr>
            <w:tcW w:w="2268" w:type="dxa"/>
            <w:gridSpan w:val="2"/>
          </w:tcPr>
          <w:p w14:paraId="0F2B54D8" w14:textId="77777777" w:rsidR="0091404D" w:rsidRPr="003E3DC3" w:rsidRDefault="0091404D" w:rsidP="00584993">
            <w:pPr>
              <w:pStyle w:val="BodyText"/>
              <w:rPr>
                <w:b/>
                <w:bCs/>
              </w:rPr>
            </w:pPr>
            <w:r w:rsidRPr="003E3DC3">
              <w:rPr>
                <w:b/>
                <w:bCs/>
              </w:rPr>
              <w:t xml:space="preserve">Lead </w:t>
            </w:r>
            <w:r>
              <w:rPr>
                <w:b/>
                <w:bCs/>
              </w:rPr>
              <w:t>agency</w:t>
            </w:r>
          </w:p>
        </w:tc>
        <w:tc>
          <w:tcPr>
            <w:tcW w:w="7370" w:type="dxa"/>
            <w:gridSpan w:val="2"/>
          </w:tcPr>
          <w:p w14:paraId="0C62A7C8" w14:textId="313C75BB" w:rsidR="0091404D" w:rsidRPr="003E3DC3" w:rsidRDefault="0091404D" w:rsidP="00584993">
            <w:pPr>
              <w:pStyle w:val="BodyText"/>
            </w:pPr>
            <w:r>
              <w:t>East Gippsland Water</w:t>
            </w:r>
          </w:p>
        </w:tc>
      </w:tr>
      <w:tr w:rsidR="0091404D" w14:paraId="77ED513C" w14:textId="77777777" w:rsidTr="00584993">
        <w:trPr>
          <w:gridAfter w:val="1"/>
          <w:wAfter w:w="10" w:type="dxa"/>
        </w:trPr>
        <w:tc>
          <w:tcPr>
            <w:tcW w:w="2268" w:type="dxa"/>
            <w:gridSpan w:val="2"/>
          </w:tcPr>
          <w:p w14:paraId="76F463DB" w14:textId="77777777" w:rsidR="0091404D" w:rsidRPr="003E3DC3" w:rsidRDefault="0091404D" w:rsidP="00584993">
            <w:pPr>
              <w:pStyle w:val="BodyText"/>
              <w:rPr>
                <w:b/>
                <w:bCs/>
              </w:rPr>
            </w:pPr>
            <w:r w:rsidRPr="003E3DC3">
              <w:rPr>
                <w:b/>
                <w:bCs/>
              </w:rPr>
              <w:lastRenderedPageBreak/>
              <w:t>Implementation partners</w:t>
            </w:r>
          </w:p>
        </w:tc>
        <w:tc>
          <w:tcPr>
            <w:tcW w:w="7370" w:type="dxa"/>
            <w:gridSpan w:val="2"/>
          </w:tcPr>
          <w:p w14:paraId="18A7C996" w14:textId="6B8E02CB" w:rsidR="0091404D" w:rsidRPr="003E3DC3" w:rsidRDefault="0091404D" w:rsidP="00584993">
            <w:pPr>
              <w:pStyle w:val="BodyText"/>
            </w:pPr>
            <w:r>
              <w:t xml:space="preserve">East </w:t>
            </w:r>
            <w:r w:rsidR="00AE2822">
              <w:t>Gippsla</w:t>
            </w:r>
            <w:r w:rsidR="00135757">
              <w:t xml:space="preserve">nd Shire Council, East Gippsland Catchment Management Authority, Bairnsdale Regional Health, </w:t>
            </w:r>
            <w:r w:rsidR="00F17FB9">
              <w:t>Gunaikurnai Land and Waters Aboriginal Corporation</w:t>
            </w:r>
          </w:p>
        </w:tc>
      </w:tr>
      <w:tr w:rsidR="0091404D" w14:paraId="547D4C1A" w14:textId="77777777" w:rsidTr="00584993">
        <w:trPr>
          <w:gridAfter w:val="1"/>
          <w:wAfter w:w="10" w:type="dxa"/>
        </w:trPr>
        <w:tc>
          <w:tcPr>
            <w:tcW w:w="2268" w:type="dxa"/>
            <w:gridSpan w:val="2"/>
          </w:tcPr>
          <w:p w14:paraId="66527184" w14:textId="77777777" w:rsidR="0091404D" w:rsidRPr="003E3DC3" w:rsidRDefault="0091404D" w:rsidP="00584993">
            <w:pPr>
              <w:pStyle w:val="BodyText"/>
              <w:rPr>
                <w:b/>
                <w:bCs/>
              </w:rPr>
            </w:pPr>
            <w:r w:rsidRPr="003E3DC3">
              <w:rPr>
                <w:b/>
                <w:bCs/>
              </w:rPr>
              <w:t>Location</w:t>
            </w:r>
          </w:p>
        </w:tc>
        <w:tc>
          <w:tcPr>
            <w:tcW w:w="7370" w:type="dxa"/>
            <w:gridSpan w:val="2"/>
          </w:tcPr>
          <w:p w14:paraId="03D9C593" w14:textId="420E250D" w:rsidR="0091404D" w:rsidRPr="003E3DC3" w:rsidRDefault="0091404D" w:rsidP="00584993">
            <w:pPr>
              <w:pStyle w:val="BodyText"/>
            </w:pPr>
            <w:r>
              <w:t>Lakes Entrance</w:t>
            </w:r>
          </w:p>
        </w:tc>
      </w:tr>
      <w:tr w:rsidR="0091404D" w14:paraId="003F6F9B" w14:textId="77777777" w:rsidTr="00584993">
        <w:trPr>
          <w:gridAfter w:val="1"/>
          <w:wAfter w:w="10" w:type="dxa"/>
        </w:trPr>
        <w:tc>
          <w:tcPr>
            <w:tcW w:w="2268" w:type="dxa"/>
            <w:gridSpan w:val="2"/>
          </w:tcPr>
          <w:p w14:paraId="65DD6805" w14:textId="77777777" w:rsidR="0091404D" w:rsidRPr="003E3DC3" w:rsidRDefault="0091404D" w:rsidP="00584993">
            <w:pPr>
              <w:pStyle w:val="BodyText"/>
              <w:rPr>
                <w:b/>
                <w:bCs/>
              </w:rPr>
            </w:pPr>
            <w:r>
              <w:rPr>
                <w:b/>
                <w:bCs/>
              </w:rPr>
              <w:t>Scale</w:t>
            </w:r>
          </w:p>
        </w:tc>
        <w:tc>
          <w:tcPr>
            <w:tcW w:w="7370" w:type="dxa"/>
            <w:gridSpan w:val="2"/>
          </w:tcPr>
          <w:p w14:paraId="79EC7B34" w14:textId="77777777" w:rsidR="0091404D" w:rsidRDefault="0091404D" w:rsidP="00584993">
            <w:pPr>
              <w:pStyle w:val="BodyText"/>
            </w:pPr>
            <w:r>
              <w:t>Town</w:t>
            </w:r>
          </w:p>
        </w:tc>
      </w:tr>
    </w:tbl>
    <w:p w14:paraId="1CA94E93" w14:textId="5C08987F" w:rsidR="0091404D" w:rsidRDefault="0091404D" w:rsidP="0091404D">
      <w:pPr>
        <w:pStyle w:val="CaptionImageorFigure"/>
      </w:pPr>
      <w:r>
        <w:t>Table 13: A summary of the impact that the</w:t>
      </w:r>
      <w:r w:rsidRPr="001351AB">
        <w:t xml:space="preserve"> </w:t>
      </w:r>
      <w:r w:rsidR="00AE2822">
        <w:t xml:space="preserve">Lakes Entrance </w:t>
      </w:r>
      <w:r>
        <w:t>IWM Plan opportunity has towards achieving the IWM outcomes</w:t>
      </w:r>
    </w:p>
    <w:tbl>
      <w:tblPr>
        <w:tblStyle w:val="TableGrid"/>
        <w:tblW w:w="0" w:type="auto"/>
        <w:tblLook w:val="04A0" w:firstRow="1" w:lastRow="0" w:firstColumn="1" w:lastColumn="0" w:noHBand="0" w:noVBand="1"/>
      </w:tblPr>
      <w:tblGrid>
        <w:gridCol w:w="7354"/>
        <w:gridCol w:w="2265"/>
      </w:tblGrid>
      <w:tr w:rsidR="0091404D" w14:paraId="52C51401"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63818E6" w14:textId="77777777" w:rsidR="0091404D" w:rsidRPr="003E3DC3" w:rsidRDefault="0091404D" w:rsidP="00584993">
            <w:pPr>
              <w:pStyle w:val="TableHeadingLeft"/>
              <w:rPr>
                <w:sz w:val="24"/>
                <w:szCs w:val="36"/>
              </w:rPr>
            </w:pPr>
            <w:r w:rsidRPr="003E3DC3">
              <w:rPr>
                <w:sz w:val="24"/>
                <w:szCs w:val="36"/>
              </w:rPr>
              <w:t>IWM outcome</w:t>
            </w:r>
          </w:p>
        </w:tc>
        <w:tc>
          <w:tcPr>
            <w:tcW w:w="2265" w:type="dxa"/>
          </w:tcPr>
          <w:p w14:paraId="511FF9F5" w14:textId="77777777" w:rsidR="0091404D" w:rsidRPr="003E3DC3" w:rsidRDefault="0091404D"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91404D" w14:paraId="40F64F4B" w14:textId="77777777" w:rsidTr="00584993">
        <w:tc>
          <w:tcPr>
            <w:tcW w:w="7354" w:type="dxa"/>
          </w:tcPr>
          <w:p w14:paraId="6D9D48B2" w14:textId="77777777" w:rsidR="0091404D" w:rsidRDefault="0091404D" w:rsidP="00584993">
            <w:pPr>
              <w:pStyle w:val="BodyText"/>
              <w:rPr>
                <w:lang w:eastAsia="en-AU"/>
              </w:rPr>
            </w:pPr>
            <w:r w:rsidRPr="002F5B60">
              <w:rPr>
                <w:lang w:eastAsia="en-AU"/>
              </w:rPr>
              <w:t>safe, secure and affordable supplies in a changing future</w:t>
            </w:r>
          </w:p>
        </w:tc>
        <w:tc>
          <w:tcPr>
            <w:tcW w:w="2265" w:type="dxa"/>
          </w:tcPr>
          <w:p w14:paraId="45FAC8CE" w14:textId="5315028F" w:rsidR="0091404D" w:rsidRDefault="003905C4" w:rsidP="00584993">
            <w:pPr>
              <w:pStyle w:val="BodyText"/>
              <w:rPr>
                <w:lang w:eastAsia="en-AU"/>
              </w:rPr>
            </w:pPr>
            <w:r>
              <w:t>Medium i</w:t>
            </w:r>
            <w:r w:rsidRPr="00E92304">
              <w:t>mpact</w:t>
            </w:r>
          </w:p>
        </w:tc>
      </w:tr>
      <w:tr w:rsidR="0091404D" w14:paraId="63F297EF" w14:textId="77777777" w:rsidTr="00584993">
        <w:tc>
          <w:tcPr>
            <w:tcW w:w="7354" w:type="dxa"/>
          </w:tcPr>
          <w:p w14:paraId="444CBC86" w14:textId="77777777" w:rsidR="0091404D" w:rsidRDefault="0091404D" w:rsidP="00584993">
            <w:pPr>
              <w:pStyle w:val="BodyText"/>
              <w:rPr>
                <w:lang w:eastAsia="en-AU"/>
              </w:rPr>
            </w:pPr>
            <w:r w:rsidRPr="002F5B60">
              <w:rPr>
                <w:lang w:eastAsia="en-AU"/>
              </w:rPr>
              <w:t>effective and affordable wastewater systems</w:t>
            </w:r>
          </w:p>
        </w:tc>
        <w:tc>
          <w:tcPr>
            <w:tcW w:w="2265" w:type="dxa"/>
          </w:tcPr>
          <w:p w14:paraId="4EE93712" w14:textId="4BE78B1D" w:rsidR="0091404D" w:rsidRDefault="003905C4" w:rsidP="00584993">
            <w:pPr>
              <w:pStyle w:val="BodyText"/>
              <w:rPr>
                <w:lang w:eastAsia="en-AU"/>
              </w:rPr>
            </w:pPr>
            <w:r>
              <w:t>Medium i</w:t>
            </w:r>
            <w:r w:rsidRPr="00E92304">
              <w:t>mpact</w:t>
            </w:r>
          </w:p>
        </w:tc>
      </w:tr>
      <w:tr w:rsidR="0091404D" w14:paraId="3D81E575" w14:textId="77777777" w:rsidTr="00584993">
        <w:tc>
          <w:tcPr>
            <w:tcW w:w="7354" w:type="dxa"/>
          </w:tcPr>
          <w:p w14:paraId="6CBBA954" w14:textId="77777777" w:rsidR="0091404D" w:rsidRDefault="0091404D" w:rsidP="00584993">
            <w:pPr>
              <w:pStyle w:val="BodyText"/>
              <w:rPr>
                <w:lang w:eastAsia="en-AU"/>
              </w:rPr>
            </w:pPr>
            <w:r w:rsidRPr="00450552">
              <w:rPr>
                <w:lang w:eastAsia="en-AU"/>
              </w:rPr>
              <w:t>manage flood risks</w:t>
            </w:r>
          </w:p>
        </w:tc>
        <w:tc>
          <w:tcPr>
            <w:tcW w:w="2265" w:type="dxa"/>
          </w:tcPr>
          <w:p w14:paraId="765BDEDE" w14:textId="3E737310" w:rsidR="0091404D" w:rsidRDefault="003905C4" w:rsidP="00584993">
            <w:pPr>
              <w:pStyle w:val="BodyText"/>
              <w:rPr>
                <w:lang w:eastAsia="en-AU"/>
              </w:rPr>
            </w:pPr>
            <w:r>
              <w:t>Medium i</w:t>
            </w:r>
            <w:r w:rsidRPr="00E92304">
              <w:t>mpact</w:t>
            </w:r>
          </w:p>
        </w:tc>
      </w:tr>
      <w:tr w:rsidR="0091404D" w14:paraId="53AEFD26" w14:textId="77777777" w:rsidTr="00584993">
        <w:tc>
          <w:tcPr>
            <w:tcW w:w="7354" w:type="dxa"/>
          </w:tcPr>
          <w:p w14:paraId="3B4C8841" w14:textId="77777777" w:rsidR="0091404D" w:rsidRDefault="0091404D" w:rsidP="00584993">
            <w:pPr>
              <w:pStyle w:val="BodyText"/>
              <w:rPr>
                <w:lang w:eastAsia="en-AU"/>
              </w:rPr>
            </w:pPr>
            <w:r w:rsidRPr="00450552">
              <w:rPr>
                <w:lang w:eastAsia="en-AU"/>
              </w:rPr>
              <w:t>healthy and valued waterways and waterbodies</w:t>
            </w:r>
          </w:p>
        </w:tc>
        <w:tc>
          <w:tcPr>
            <w:tcW w:w="2265" w:type="dxa"/>
          </w:tcPr>
          <w:p w14:paraId="0213FBC9" w14:textId="77777777" w:rsidR="0091404D" w:rsidRDefault="0091404D" w:rsidP="00584993">
            <w:pPr>
              <w:pStyle w:val="BodyText"/>
              <w:rPr>
                <w:lang w:eastAsia="en-AU"/>
              </w:rPr>
            </w:pPr>
            <w:r>
              <w:t>Medium i</w:t>
            </w:r>
            <w:r w:rsidRPr="00E92304">
              <w:t>mpact</w:t>
            </w:r>
          </w:p>
        </w:tc>
      </w:tr>
      <w:tr w:rsidR="0091404D" w14:paraId="2598C7C5" w14:textId="77777777" w:rsidTr="00584993">
        <w:tc>
          <w:tcPr>
            <w:tcW w:w="7354" w:type="dxa"/>
          </w:tcPr>
          <w:p w14:paraId="7B327E4F" w14:textId="77777777" w:rsidR="0091404D" w:rsidRDefault="0091404D" w:rsidP="00584993">
            <w:pPr>
              <w:pStyle w:val="BodyText"/>
              <w:rPr>
                <w:lang w:eastAsia="en-AU"/>
              </w:rPr>
            </w:pPr>
            <w:r w:rsidRPr="00450552">
              <w:rPr>
                <w:lang w:eastAsia="en-AU"/>
              </w:rPr>
              <w:t>healthy and valued landscapes</w:t>
            </w:r>
          </w:p>
        </w:tc>
        <w:tc>
          <w:tcPr>
            <w:tcW w:w="2265" w:type="dxa"/>
          </w:tcPr>
          <w:p w14:paraId="5B2495EF" w14:textId="77777777" w:rsidR="0091404D" w:rsidRDefault="0091404D" w:rsidP="00584993">
            <w:pPr>
              <w:pStyle w:val="BodyText"/>
              <w:rPr>
                <w:lang w:eastAsia="en-AU"/>
              </w:rPr>
            </w:pPr>
            <w:r>
              <w:t>Medium impact</w:t>
            </w:r>
          </w:p>
        </w:tc>
      </w:tr>
      <w:tr w:rsidR="0091404D" w14:paraId="1AE3BB74" w14:textId="77777777" w:rsidTr="00584993">
        <w:tc>
          <w:tcPr>
            <w:tcW w:w="7354" w:type="dxa"/>
          </w:tcPr>
          <w:p w14:paraId="71349127" w14:textId="77777777" w:rsidR="0091404D" w:rsidRDefault="0091404D"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08B1750A" w14:textId="77777777" w:rsidR="0091404D" w:rsidRDefault="0091404D" w:rsidP="00584993">
            <w:pPr>
              <w:pStyle w:val="BodyText"/>
              <w:rPr>
                <w:lang w:eastAsia="en-AU"/>
              </w:rPr>
            </w:pPr>
            <w:r>
              <w:t>Medium impact</w:t>
            </w:r>
          </w:p>
        </w:tc>
      </w:tr>
      <w:tr w:rsidR="0091404D" w14:paraId="47A05405" w14:textId="77777777" w:rsidTr="00584993">
        <w:tc>
          <w:tcPr>
            <w:tcW w:w="7354" w:type="dxa"/>
          </w:tcPr>
          <w:p w14:paraId="2D9B1B2C" w14:textId="46702ED2" w:rsidR="0091404D" w:rsidRPr="00450552" w:rsidRDefault="002954FB" w:rsidP="00584993">
            <w:pPr>
              <w:pStyle w:val="BodyText"/>
              <w:rPr>
                <w:lang w:eastAsia="en-AU"/>
              </w:rPr>
            </w:pPr>
            <w:r>
              <w:rPr>
                <w:lang w:eastAsia="en-AU"/>
              </w:rPr>
              <w:t>c</w:t>
            </w:r>
            <w:r w:rsidR="0091404D">
              <w:rPr>
                <w:lang w:eastAsia="en-AU"/>
              </w:rPr>
              <w:t>ommunity values reflected in place-based planning</w:t>
            </w:r>
          </w:p>
        </w:tc>
        <w:tc>
          <w:tcPr>
            <w:tcW w:w="2265" w:type="dxa"/>
          </w:tcPr>
          <w:p w14:paraId="326E2C25" w14:textId="77777777" w:rsidR="0091404D" w:rsidRPr="00E92304" w:rsidRDefault="0091404D" w:rsidP="00584993">
            <w:pPr>
              <w:pStyle w:val="BodyText"/>
            </w:pPr>
            <w:r>
              <w:t>Medium impact</w:t>
            </w:r>
          </w:p>
        </w:tc>
      </w:tr>
      <w:tr w:rsidR="0091404D" w14:paraId="4EE3EE1E" w14:textId="77777777" w:rsidTr="00584993">
        <w:tc>
          <w:tcPr>
            <w:tcW w:w="7354" w:type="dxa"/>
          </w:tcPr>
          <w:p w14:paraId="6CC40FB7" w14:textId="77777777" w:rsidR="0091404D" w:rsidRDefault="0091404D" w:rsidP="00584993">
            <w:pPr>
              <w:pStyle w:val="BodyText"/>
              <w:rPr>
                <w:lang w:eastAsia="en-AU"/>
              </w:rPr>
            </w:pPr>
            <w:r w:rsidRPr="00450552">
              <w:rPr>
                <w:lang w:eastAsia="en-AU"/>
              </w:rPr>
              <w:t>jobs, economic opportunity and innovation</w:t>
            </w:r>
          </w:p>
        </w:tc>
        <w:tc>
          <w:tcPr>
            <w:tcW w:w="2265" w:type="dxa"/>
          </w:tcPr>
          <w:p w14:paraId="389BDFC2" w14:textId="77777777" w:rsidR="0091404D" w:rsidRDefault="0091404D" w:rsidP="00584993">
            <w:pPr>
              <w:pStyle w:val="BodyText"/>
              <w:rPr>
                <w:lang w:eastAsia="en-AU"/>
              </w:rPr>
            </w:pPr>
            <w:r>
              <w:t xml:space="preserve">Medium </w:t>
            </w:r>
            <w:r w:rsidRPr="00E92304">
              <w:t>Impact</w:t>
            </w:r>
          </w:p>
        </w:tc>
      </w:tr>
    </w:tbl>
    <w:p w14:paraId="43682177" w14:textId="77777777" w:rsidR="0091404D" w:rsidRDefault="0091404D" w:rsidP="004C5798">
      <w:pPr>
        <w:pStyle w:val="BodyText"/>
        <w:rPr>
          <w:lang w:eastAsia="en-AU"/>
        </w:rPr>
      </w:pPr>
    </w:p>
    <w:p w14:paraId="4E4D549B" w14:textId="419F8842" w:rsidR="007101DF" w:rsidRDefault="007101DF" w:rsidP="007101DF">
      <w:pPr>
        <w:pStyle w:val="Heading2"/>
      </w:pPr>
      <w:bookmarkStart w:id="77" w:name="_Toc117694687"/>
      <w:r>
        <w:t>Crooke Street Wetlands</w:t>
      </w:r>
      <w:bookmarkEnd w:id="77"/>
    </w:p>
    <w:p w14:paraId="6BB5B78F" w14:textId="77777777" w:rsidR="000757EA" w:rsidRDefault="000757EA" w:rsidP="000757EA">
      <w:pPr>
        <w:pStyle w:val="BodyText"/>
        <w:rPr>
          <w:lang w:eastAsia="en-AU"/>
        </w:rPr>
      </w:pPr>
      <w:r>
        <w:rPr>
          <w:lang w:eastAsia="en-AU"/>
        </w:rPr>
        <w:t xml:space="preserve">The Crooke Street Wetlands Project is one of the top East Gippsland IWM Forum SDS priorities and was partially identified and included in the Bairnsdale IWM Plan. This wetland development is designed to capture and treat stormwater in the Crooke Street region of East Bairnsdale, which is currently discharging to Jones Bay. It will reduce nutrient loads flowing into the Gippsland Lakes. </w:t>
      </w:r>
    </w:p>
    <w:p w14:paraId="513E0221" w14:textId="77777777" w:rsidR="000757EA" w:rsidRDefault="000757EA" w:rsidP="000757EA">
      <w:pPr>
        <w:pStyle w:val="BodyText"/>
        <w:rPr>
          <w:lang w:eastAsia="en-AU"/>
        </w:rPr>
      </w:pPr>
      <w:r>
        <w:rPr>
          <w:lang w:eastAsia="en-AU"/>
        </w:rPr>
        <w:t xml:space="preserve">The overall project will be funded from multiple sources. It will include: </w:t>
      </w:r>
    </w:p>
    <w:p w14:paraId="48CA4BC3" w14:textId="77777777" w:rsidR="000757EA" w:rsidRDefault="000757EA" w:rsidP="000757EA">
      <w:pPr>
        <w:pStyle w:val="BodyText"/>
        <w:numPr>
          <w:ilvl w:val="0"/>
          <w:numId w:val="30"/>
        </w:numPr>
        <w:rPr>
          <w:lang w:eastAsia="en-AU"/>
        </w:rPr>
      </w:pPr>
      <w:r>
        <w:rPr>
          <w:lang w:eastAsia="en-AU"/>
        </w:rPr>
        <w:t xml:space="preserve">the installation of two gross pollutant traps </w:t>
      </w:r>
    </w:p>
    <w:p w14:paraId="32E1FCB1" w14:textId="77777777" w:rsidR="000757EA" w:rsidRDefault="000757EA" w:rsidP="00A95C08">
      <w:pPr>
        <w:pStyle w:val="BodyText"/>
        <w:numPr>
          <w:ilvl w:val="0"/>
          <w:numId w:val="30"/>
        </w:numPr>
        <w:rPr>
          <w:lang w:eastAsia="en-AU"/>
        </w:rPr>
      </w:pPr>
      <w:r>
        <w:rPr>
          <w:lang w:eastAsia="en-AU"/>
        </w:rPr>
        <w:t xml:space="preserve">a sediment basin and wetland within a proposed retarding basin. </w:t>
      </w:r>
    </w:p>
    <w:p w14:paraId="53957417" w14:textId="77777777" w:rsidR="00CF6159" w:rsidRDefault="000757EA" w:rsidP="00CF6159">
      <w:pPr>
        <w:pStyle w:val="BodyText"/>
        <w:rPr>
          <w:lang w:eastAsia="en-AU"/>
        </w:rPr>
      </w:pPr>
      <w:r>
        <w:rPr>
          <w:lang w:eastAsia="en-AU"/>
        </w:rPr>
        <w:t xml:space="preserve">The project will include a detailed design. Existing works to which East Gippsland Shire Council has already committed will be part of the civil works budget. </w:t>
      </w:r>
    </w:p>
    <w:p w14:paraId="5D283E75" w14:textId="574029EE" w:rsidR="000757EA" w:rsidRDefault="000757EA" w:rsidP="00CF6159">
      <w:pPr>
        <w:pStyle w:val="BodyText"/>
        <w:rPr>
          <w:lang w:eastAsia="en-AU"/>
        </w:rPr>
      </w:pPr>
      <w:r>
        <w:rPr>
          <w:lang w:eastAsia="en-AU"/>
        </w:rPr>
        <w:lastRenderedPageBreak/>
        <w:t xml:space="preserve">The overall project will also include landscaping works undertaken by GLaWAC, a Federation University Masters candidate to undertake ecological and nutrient assessments, and a citizen science initiative that will be focused on urban wetlands. </w:t>
      </w:r>
    </w:p>
    <w:p w14:paraId="02663DE3" w14:textId="58C100B6" w:rsidR="00CF6159" w:rsidRDefault="00CF6159" w:rsidP="00CF6159">
      <w:pPr>
        <w:pStyle w:val="CaptionImageorFigure"/>
      </w:pPr>
      <w:r>
        <w:t>Table 14: A summary of key details for the</w:t>
      </w:r>
      <w:r w:rsidR="00C01B0B">
        <w:t xml:space="preserve"> Crooke Street Wetlands</w:t>
      </w:r>
      <w:r>
        <w:t xml:space="preserve"> opportunity</w:t>
      </w:r>
    </w:p>
    <w:tbl>
      <w:tblPr>
        <w:tblStyle w:val="TableGrid"/>
        <w:tblW w:w="9648" w:type="dxa"/>
        <w:tblInd w:w="-10" w:type="dxa"/>
        <w:tblLook w:val="04A0" w:firstRow="1" w:lastRow="0" w:firstColumn="1" w:lastColumn="0" w:noHBand="0" w:noVBand="1"/>
      </w:tblPr>
      <w:tblGrid>
        <w:gridCol w:w="10"/>
        <w:gridCol w:w="2258"/>
        <w:gridCol w:w="10"/>
        <w:gridCol w:w="7360"/>
        <w:gridCol w:w="10"/>
      </w:tblGrid>
      <w:tr w:rsidR="00CF6159" w14:paraId="01060B32" w14:textId="77777777" w:rsidTr="00584993">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0000000100" w:firstRow="0" w:lastRow="0" w:firstColumn="0" w:lastColumn="0" w:oddVBand="0" w:evenVBand="0" w:oddHBand="0" w:evenHBand="0" w:firstRowFirstColumn="1" w:firstRowLastColumn="0" w:lastRowFirstColumn="0" w:lastRowLastColumn="0"/>
            <w:tcW w:w="2268" w:type="dxa"/>
            <w:gridSpan w:val="2"/>
          </w:tcPr>
          <w:p w14:paraId="2760E031" w14:textId="77777777" w:rsidR="00CF6159" w:rsidRPr="003E3DC3" w:rsidRDefault="00CF6159" w:rsidP="00584993">
            <w:pPr>
              <w:pStyle w:val="TableHeadingLeft"/>
              <w:rPr>
                <w:sz w:val="24"/>
                <w:szCs w:val="36"/>
              </w:rPr>
            </w:pPr>
            <w:r w:rsidRPr="003E3DC3">
              <w:rPr>
                <w:sz w:val="24"/>
                <w:szCs w:val="36"/>
              </w:rPr>
              <w:t>Subject</w:t>
            </w:r>
          </w:p>
        </w:tc>
        <w:tc>
          <w:tcPr>
            <w:tcW w:w="7370" w:type="dxa"/>
            <w:gridSpan w:val="2"/>
          </w:tcPr>
          <w:p w14:paraId="4A859085" w14:textId="77777777" w:rsidR="00CF6159" w:rsidRPr="003E3DC3" w:rsidRDefault="00CF6159"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CF6159" w14:paraId="2C90CCC5" w14:textId="77777777" w:rsidTr="00584993">
        <w:trPr>
          <w:gridAfter w:val="1"/>
          <w:wAfter w:w="10" w:type="dxa"/>
        </w:trPr>
        <w:tc>
          <w:tcPr>
            <w:tcW w:w="2268" w:type="dxa"/>
            <w:gridSpan w:val="2"/>
          </w:tcPr>
          <w:p w14:paraId="5FE83E93" w14:textId="77777777" w:rsidR="00CF6159" w:rsidRPr="003E3DC3" w:rsidRDefault="00CF6159" w:rsidP="00584993">
            <w:pPr>
              <w:pStyle w:val="BodyText"/>
              <w:rPr>
                <w:b/>
                <w:bCs/>
              </w:rPr>
            </w:pPr>
            <w:r w:rsidRPr="003E3DC3">
              <w:rPr>
                <w:b/>
                <w:bCs/>
              </w:rPr>
              <w:t>Status</w:t>
            </w:r>
          </w:p>
        </w:tc>
        <w:tc>
          <w:tcPr>
            <w:tcW w:w="7370" w:type="dxa"/>
            <w:gridSpan w:val="2"/>
          </w:tcPr>
          <w:p w14:paraId="6BB57D32" w14:textId="77777777" w:rsidR="00CF6159" w:rsidRPr="003E3DC3" w:rsidRDefault="00CF6159" w:rsidP="00584993">
            <w:pPr>
              <w:pStyle w:val="BodyText"/>
            </w:pPr>
            <w:r>
              <w:t>Committed</w:t>
            </w:r>
          </w:p>
        </w:tc>
      </w:tr>
      <w:tr w:rsidR="00CF6159" w14:paraId="7169F874" w14:textId="77777777" w:rsidTr="00584993">
        <w:trPr>
          <w:gridAfter w:val="1"/>
          <w:wAfter w:w="10" w:type="dxa"/>
        </w:trPr>
        <w:tc>
          <w:tcPr>
            <w:tcW w:w="2268" w:type="dxa"/>
            <w:gridSpan w:val="2"/>
          </w:tcPr>
          <w:p w14:paraId="4A0C60BB" w14:textId="77777777" w:rsidR="00CF6159" w:rsidRPr="003E3DC3" w:rsidRDefault="00CF6159" w:rsidP="00584993">
            <w:pPr>
              <w:pStyle w:val="BodyText"/>
              <w:rPr>
                <w:b/>
                <w:bCs/>
              </w:rPr>
            </w:pPr>
            <w:r w:rsidRPr="003E3DC3">
              <w:rPr>
                <w:b/>
                <w:bCs/>
              </w:rPr>
              <w:t xml:space="preserve">Lead </w:t>
            </w:r>
            <w:r>
              <w:rPr>
                <w:b/>
                <w:bCs/>
              </w:rPr>
              <w:t>agency</w:t>
            </w:r>
          </w:p>
        </w:tc>
        <w:tc>
          <w:tcPr>
            <w:tcW w:w="7370" w:type="dxa"/>
            <w:gridSpan w:val="2"/>
          </w:tcPr>
          <w:p w14:paraId="57E7C47E" w14:textId="53AC3BAB" w:rsidR="00CF6159" w:rsidRPr="003E3DC3" w:rsidRDefault="00CF6159" w:rsidP="00584993">
            <w:pPr>
              <w:pStyle w:val="BodyText"/>
            </w:pPr>
            <w:r>
              <w:t xml:space="preserve">East Gippsland </w:t>
            </w:r>
            <w:r w:rsidR="00395CFA">
              <w:t>Shire Council</w:t>
            </w:r>
          </w:p>
        </w:tc>
      </w:tr>
      <w:tr w:rsidR="00CF6159" w14:paraId="30058998" w14:textId="77777777" w:rsidTr="00584993">
        <w:trPr>
          <w:gridAfter w:val="1"/>
          <w:wAfter w:w="10" w:type="dxa"/>
        </w:trPr>
        <w:tc>
          <w:tcPr>
            <w:tcW w:w="2268" w:type="dxa"/>
            <w:gridSpan w:val="2"/>
          </w:tcPr>
          <w:p w14:paraId="096D5C73" w14:textId="77777777" w:rsidR="00CF6159" w:rsidRPr="003E3DC3" w:rsidRDefault="00CF6159" w:rsidP="00584993">
            <w:pPr>
              <w:pStyle w:val="BodyText"/>
              <w:rPr>
                <w:b/>
                <w:bCs/>
              </w:rPr>
            </w:pPr>
            <w:r w:rsidRPr="003E3DC3">
              <w:rPr>
                <w:b/>
                <w:bCs/>
              </w:rPr>
              <w:t>Implementation partners</w:t>
            </w:r>
          </w:p>
        </w:tc>
        <w:tc>
          <w:tcPr>
            <w:tcW w:w="7370" w:type="dxa"/>
            <w:gridSpan w:val="2"/>
          </w:tcPr>
          <w:p w14:paraId="4380673E" w14:textId="587B49BA" w:rsidR="00CF6159" w:rsidRPr="003E3DC3" w:rsidRDefault="00CF6159" w:rsidP="00584993">
            <w:pPr>
              <w:pStyle w:val="BodyText"/>
            </w:pPr>
            <w:r>
              <w:t>Gunaikurnai Land and Waters Aboriginal Corporation</w:t>
            </w:r>
            <w:r w:rsidR="00395CFA">
              <w:t>, East Gippsland Water, East Gippsland Catchment Management Authority</w:t>
            </w:r>
          </w:p>
        </w:tc>
      </w:tr>
      <w:tr w:rsidR="00CF6159" w14:paraId="25FC90CE" w14:textId="77777777" w:rsidTr="00584993">
        <w:trPr>
          <w:gridAfter w:val="1"/>
          <w:wAfter w:w="10" w:type="dxa"/>
        </w:trPr>
        <w:tc>
          <w:tcPr>
            <w:tcW w:w="2268" w:type="dxa"/>
            <w:gridSpan w:val="2"/>
          </w:tcPr>
          <w:p w14:paraId="5F7C5E6A" w14:textId="77777777" w:rsidR="00CF6159" w:rsidRPr="003E3DC3" w:rsidRDefault="00CF6159" w:rsidP="00584993">
            <w:pPr>
              <w:pStyle w:val="BodyText"/>
              <w:rPr>
                <w:b/>
                <w:bCs/>
              </w:rPr>
            </w:pPr>
            <w:r w:rsidRPr="003E3DC3">
              <w:rPr>
                <w:b/>
                <w:bCs/>
              </w:rPr>
              <w:t>Location</w:t>
            </w:r>
          </w:p>
        </w:tc>
        <w:tc>
          <w:tcPr>
            <w:tcW w:w="7370" w:type="dxa"/>
            <w:gridSpan w:val="2"/>
          </w:tcPr>
          <w:p w14:paraId="413EEC50" w14:textId="3E99884D" w:rsidR="00CF6159" w:rsidRPr="003E3DC3" w:rsidRDefault="00395CFA" w:rsidP="00584993">
            <w:pPr>
              <w:pStyle w:val="BodyText"/>
            </w:pPr>
            <w:r>
              <w:t>Bairnsdale</w:t>
            </w:r>
          </w:p>
        </w:tc>
      </w:tr>
      <w:tr w:rsidR="00CF6159" w14:paraId="72ECCC6E" w14:textId="77777777" w:rsidTr="00584993">
        <w:trPr>
          <w:gridAfter w:val="1"/>
          <w:wAfter w:w="10" w:type="dxa"/>
        </w:trPr>
        <w:tc>
          <w:tcPr>
            <w:tcW w:w="2268" w:type="dxa"/>
            <w:gridSpan w:val="2"/>
          </w:tcPr>
          <w:p w14:paraId="654BFD35" w14:textId="77777777" w:rsidR="00CF6159" w:rsidRPr="003E3DC3" w:rsidRDefault="00CF6159" w:rsidP="00584993">
            <w:pPr>
              <w:pStyle w:val="BodyText"/>
              <w:rPr>
                <w:b/>
                <w:bCs/>
              </w:rPr>
            </w:pPr>
            <w:r>
              <w:rPr>
                <w:b/>
                <w:bCs/>
              </w:rPr>
              <w:t>Scale</w:t>
            </w:r>
          </w:p>
        </w:tc>
        <w:tc>
          <w:tcPr>
            <w:tcW w:w="7370" w:type="dxa"/>
            <w:gridSpan w:val="2"/>
          </w:tcPr>
          <w:p w14:paraId="2F3DDA4F" w14:textId="1956C90F" w:rsidR="00CF6159" w:rsidRDefault="00395CFA" w:rsidP="00584993">
            <w:pPr>
              <w:pStyle w:val="BodyText"/>
            </w:pPr>
            <w:r>
              <w:t>Precinct</w:t>
            </w:r>
          </w:p>
        </w:tc>
      </w:tr>
    </w:tbl>
    <w:p w14:paraId="016B9FF6" w14:textId="7F451876" w:rsidR="00CF6159" w:rsidRDefault="00CF6159" w:rsidP="00CF6159">
      <w:pPr>
        <w:pStyle w:val="CaptionImageorFigure"/>
      </w:pPr>
      <w:r>
        <w:t>Table 15: A summary of the impact that the</w:t>
      </w:r>
      <w:r w:rsidRPr="001351AB">
        <w:t xml:space="preserve"> </w:t>
      </w:r>
      <w:r w:rsidR="00C01B0B">
        <w:t xml:space="preserve">Crooke Street Wetlands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CF6159" w14:paraId="140D0EE7"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8E4478F" w14:textId="77777777" w:rsidR="00CF6159" w:rsidRPr="003E3DC3" w:rsidRDefault="00CF6159" w:rsidP="00584993">
            <w:pPr>
              <w:pStyle w:val="TableHeadingLeft"/>
              <w:rPr>
                <w:sz w:val="24"/>
                <w:szCs w:val="36"/>
              </w:rPr>
            </w:pPr>
            <w:r w:rsidRPr="003E3DC3">
              <w:rPr>
                <w:sz w:val="24"/>
                <w:szCs w:val="36"/>
              </w:rPr>
              <w:t>IWM outcome</w:t>
            </w:r>
          </w:p>
        </w:tc>
        <w:tc>
          <w:tcPr>
            <w:tcW w:w="2265" w:type="dxa"/>
          </w:tcPr>
          <w:p w14:paraId="0899EC5B" w14:textId="77777777" w:rsidR="00CF6159" w:rsidRPr="003E3DC3" w:rsidRDefault="00CF6159"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CF6159" w14:paraId="43DF6E7B" w14:textId="77777777" w:rsidTr="00584993">
        <w:tc>
          <w:tcPr>
            <w:tcW w:w="7354" w:type="dxa"/>
          </w:tcPr>
          <w:p w14:paraId="540179B6" w14:textId="77777777" w:rsidR="00CF6159" w:rsidRDefault="00CF6159" w:rsidP="00584993">
            <w:pPr>
              <w:pStyle w:val="BodyText"/>
              <w:rPr>
                <w:lang w:eastAsia="en-AU"/>
              </w:rPr>
            </w:pPr>
            <w:r w:rsidRPr="002F5B60">
              <w:rPr>
                <w:lang w:eastAsia="en-AU"/>
              </w:rPr>
              <w:t>safe, secure and affordable supplies in a changing future</w:t>
            </w:r>
          </w:p>
        </w:tc>
        <w:tc>
          <w:tcPr>
            <w:tcW w:w="2265" w:type="dxa"/>
          </w:tcPr>
          <w:p w14:paraId="57A72FBE" w14:textId="41CCFA9A" w:rsidR="00CF6159" w:rsidRDefault="00717A3E" w:rsidP="00584993">
            <w:pPr>
              <w:pStyle w:val="BodyText"/>
              <w:rPr>
                <w:lang w:eastAsia="en-AU"/>
              </w:rPr>
            </w:pPr>
            <w:r>
              <w:t>Low</w:t>
            </w:r>
            <w:r w:rsidR="00CF6159">
              <w:t xml:space="preserve"> i</w:t>
            </w:r>
            <w:r w:rsidR="00CF6159" w:rsidRPr="00E92304">
              <w:t>mpact</w:t>
            </w:r>
          </w:p>
        </w:tc>
      </w:tr>
      <w:tr w:rsidR="00CF6159" w14:paraId="7D8DE83B" w14:textId="77777777" w:rsidTr="00584993">
        <w:tc>
          <w:tcPr>
            <w:tcW w:w="7354" w:type="dxa"/>
          </w:tcPr>
          <w:p w14:paraId="6D9E3215" w14:textId="77777777" w:rsidR="00CF6159" w:rsidRDefault="00CF6159" w:rsidP="00584993">
            <w:pPr>
              <w:pStyle w:val="BodyText"/>
              <w:rPr>
                <w:lang w:eastAsia="en-AU"/>
              </w:rPr>
            </w:pPr>
            <w:r w:rsidRPr="002F5B60">
              <w:rPr>
                <w:lang w:eastAsia="en-AU"/>
              </w:rPr>
              <w:t>effective and affordable wastewater systems</w:t>
            </w:r>
          </w:p>
        </w:tc>
        <w:tc>
          <w:tcPr>
            <w:tcW w:w="2265" w:type="dxa"/>
          </w:tcPr>
          <w:p w14:paraId="68F441D1" w14:textId="2E0A15A6" w:rsidR="00CF6159" w:rsidRDefault="00717A3E" w:rsidP="00584993">
            <w:pPr>
              <w:pStyle w:val="BodyText"/>
              <w:rPr>
                <w:lang w:eastAsia="en-AU"/>
              </w:rPr>
            </w:pPr>
            <w:r>
              <w:t>Low</w:t>
            </w:r>
            <w:r w:rsidR="00CF6159">
              <w:t xml:space="preserve"> i</w:t>
            </w:r>
            <w:r w:rsidR="00CF6159" w:rsidRPr="00E92304">
              <w:t>mpact</w:t>
            </w:r>
          </w:p>
        </w:tc>
      </w:tr>
      <w:tr w:rsidR="00CF6159" w14:paraId="21909C55" w14:textId="77777777" w:rsidTr="00584993">
        <w:tc>
          <w:tcPr>
            <w:tcW w:w="7354" w:type="dxa"/>
          </w:tcPr>
          <w:p w14:paraId="4813228F" w14:textId="77777777" w:rsidR="00CF6159" w:rsidRDefault="00CF6159" w:rsidP="00584993">
            <w:pPr>
              <w:pStyle w:val="BodyText"/>
              <w:rPr>
                <w:lang w:eastAsia="en-AU"/>
              </w:rPr>
            </w:pPr>
            <w:r w:rsidRPr="00450552">
              <w:rPr>
                <w:lang w:eastAsia="en-AU"/>
              </w:rPr>
              <w:t>manage flood risks</w:t>
            </w:r>
          </w:p>
        </w:tc>
        <w:tc>
          <w:tcPr>
            <w:tcW w:w="2265" w:type="dxa"/>
          </w:tcPr>
          <w:p w14:paraId="21219CFF" w14:textId="77777777" w:rsidR="00CF6159" w:rsidRDefault="00CF6159" w:rsidP="00584993">
            <w:pPr>
              <w:pStyle w:val="BodyText"/>
              <w:rPr>
                <w:lang w:eastAsia="en-AU"/>
              </w:rPr>
            </w:pPr>
            <w:r>
              <w:t>Medium i</w:t>
            </w:r>
            <w:r w:rsidRPr="00E92304">
              <w:t>mpact</w:t>
            </w:r>
          </w:p>
        </w:tc>
      </w:tr>
      <w:tr w:rsidR="00CF6159" w14:paraId="1AEBD300" w14:textId="77777777" w:rsidTr="00584993">
        <w:tc>
          <w:tcPr>
            <w:tcW w:w="7354" w:type="dxa"/>
          </w:tcPr>
          <w:p w14:paraId="43CA3D79" w14:textId="77777777" w:rsidR="00CF6159" w:rsidRDefault="00CF6159" w:rsidP="00584993">
            <w:pPr>
              <w:pStyle w:val="BodyText"/>
              <w:rPr>
                <w:lang w:eastAsia="en-AU"/>
              </w:rPr>
            </w:pPr>
            <w:r w:rsidRPr="00450552">
              <w:rPr>
                <w:lang w:eastAsia="en-AU"/>
              </w:rPr>
              <w:t>healthy and valued waterways and waterbodies</w:t>
            </w:r>
          </w:p>
        </w:tc>
        <w:tc>
          <w:tcPr>
            <w:tcW w:w="2265" w:type="dxa"/>
          </w:tcPr>
          <w:p w14:paraId="40A52792" w14:textId="225DD3A4" w:rsidR="00CF6159" w:rsidRDefault="00717A3E" w:rsidP="00584993">
            <w:pPr>
              <w:pStyle w:val="BodyText"/>
              <w:rPr>
                <w:lang w:eastAsia="en-AU"/>
              </w:rPr>
            </w:pPr>
            <w:r>
              <w:t xml:space="preserve">High </w:t>
            </w:r>
            <w:r w:rsidR="00CF6159">
              <w:t>i</w:t>
            </w:r>
            <w:r w:rsidR="00CF6159" w:rsidRPr="00E92304">
              <w:t>mpact</w:t>
            </w:r>
          </w:p>
        </w:tc>
      </w:tr>
      <w:tr w:rsidR="00CF6159" w14:paraId="6DB48DE5" w14:textId="77777777" w:rsidTr="00584993">
        <w:tc>
          <w:tcPr>
            <w:tcW w:w="7354" w:type="dxa"/>
          </w:tcPr>
          <w:p w14:paraId="640A5B00" w14:textId="77777777" w:rsidR="00CF6159" w:rsidRDefault="00CF6159" w:rsidP="00584993">
            <w:pPr>
              <w:pStyle w:val="BodyText"/>
              <w:rPr>
                <w:lang w:eastAsia="en-AU"/>
              </w:rPr>
            </w:pPr>
            <w:r w:rsidRPr="00450552">
              <w:rPr>
                <w:lang w:eastAsia="en-AU"/>
              </w:rPr>
              <w:t>healthy and valued landscapes</w:t>
            </w:r>
          </w:p>
        </w:tc>
        <w:tc>
          <w:tcPr>
            <w:tcW w:w="2265" w:type="dxa"/>
          </w:tcPr>
          <w:p w14:paraId="7C51EB15" w14:textId="06832B0F" w:rsidR="00CF6159" w:rsidRDefault="00717A3E" w:rsidP="00584993">
            <w:pPr>
              <w:pStyle w:val="BodyText"/>
              <w:rPr>
                <w:lang w:eastAsia="en-AU"/>
              </w:rPr>
            </w:pPr>
            <w:r>
              <w:t>High</w:t>
            </w:r>
            <w:r w:rsidR="00CF6159">
              <w:t xml:space="preserve"> impact</w:t>
            </w:r>
          </w:p>
        </w:tc>
      </w:tr>
      <w:tr w:rsidR="00CF6159" w14:paraId="091E042B" w14:textId="77777777" w:rsidTr="00584993">
        <w:tc>
          <w:tcPr>
            <w:tcW w:w="7354" w:type="dxa"/>
          </w:tcPr>
          <w:p w14:paraId="42B48167" w14:textId="77777777" w:rsidR="00CF6159" w:rsidRDefault="00CF6159"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21D525F6" w14:textId="2B3A82DF" w:rsidR="00CF6159" w:rsidRDefault="00717A3E" w:rsidP="00584993">
            <w:pPr>
              <w:pStyle w:val="BodyText"/>
              <w:rPr>
                <w:lang w:eastAsia="en-AU"/>
              </w:rPr>
            </w:pPr>
            <w:r>
              <w:t xml:space="preserve">High </w:t>
            </w:r>
            <w:r w:rsidR="00CF6159">
              <w:t>impact</w:t>
            </w:r>
          </w:p>
        </w:tc>
      </w:tr>
      <w:tr w:rsidR="00CF6159" w14:paraId="0079BB1C" w14:textId="77777777" w:rsidTr="00584993">
        <w:tc>
          <w:tcPr>
            <w:tcW w:w="7354" w:type="dxa"/>
          </w:tcPr>
          <w:p w14:paraId="5F92A921" w14:textId="18C8589C" w:rsidR="00CF6159" w:rsidRPr="00450552" w:rsidRDefault="002954FB" w:rsidP="00584993">
            <w:pPr>
              <w:pStyle w:val="BodyText"/>
              <w:rPr>
                <w:lang w:eastAsia="en-AU"/>
              </w:rPr>
            </w:pPr>
            <w:r>
              <w:rPr>
                <w:lang w:eastAsia="en-AU"/>
              </w:rPr>
              <w:t>c</w:t>
            </w:r>
            <w:r w:rsidR="00CF6159">
              <w:rPr>
                <w:lang w:eastAsia="en-AU"/>
              </w:rPr>
              <w:t>ommunity values reflected in place-based planning</w:t>
            </w:r>
          </w:p>
        </w:tc>
        <w:tc>
          <w:tcPr>
            <w:tcW w:w="2265" w:type="dxa"/>
          </w:tcPr>
          <w:p w14:paraId="186F4A15" w14:textId="347178EB" w:rsidR="00CF6159" w:rsidRPr="00E92304" w:rsidRDefault="00717A3E" w:rsidP="00584993">
            <w:pPr>
              <w:pStyle w:val="BodyText"/>
            </w:pPr>
            <w:r>
              <w:t xml:space="preserve">High </w:t>
            </w:r>
            <w:r w:rsidR="00CF6159">
              <w:t>impact</w:t>
            </w:r>
          </w:p>
        </w:tc>
      </w:tr>
      <w:tr w:rsidR="00CF6159" w14:paraId="6DFC0697" w14:textId="77777777" w:rsidTr="00584993">
        <w:tc>
          <w:tcPr>
            <w:tcW w:w="7354" w:type="dxa"/>
          </w:tcPr>
          <w:p w14:paraId="590BCC7B" w14:textId="77777777" w:rsidR="00CF6159" w:rsidRDefault="00CF6159" w:rsidP="00584993">
            <w:pPr>
              <w:pStyle w:val="BodyText"/>
              <w:rPr>
                <w:lang w:eastAsia="en-AU"/>
              </w:rPr>
            </w:pPr>
            <w:r w:rsidRPr="00450552">
              <w:rPr>
                <w:lang w:eastAsia="en-AU"/>
              </w:rPr>
              <w:t>jobs, economic opportunity and innovation</w:t>
            </w:r>
          </w:p>
        </w:tc>
        <w:tc>
          <w:tcPr>
            <w:tcW w:w="2265" w:type="dxa"/>
          </w:tcPr>
          <w:p w14:paraId="34B06413" w14:textId="49C33973" w:rsidR="00CF6159" w:rsidRDefault="00717A3E" w:rsidP="00584993">
            <w:pPr>
              <w:pStyle w:val="BodyText"/>
              <w:rPr>
                <w:lang w:eastAsia="en-AU"/>
              </w:rPr>
            </w:pPr>
            <w:r>
              <w:t>High</w:t>
            </w:r>
            <w:r w:rsidRPr="00E92304">
              <w:t xml:space="preserve"> </w:t>
            </w:r>
            <w:r w:rsidR="00CF6159" w:rsidRPr="00E92304">
              <w:t>Impact</w:t>
            </w:r>
          </w:p>
        </w:tc>
      </w:tr>
    </w:tbl>
    <w:p w14:paraId="6BF0E63E" w14:textId="77777777" w:rsidR="000757EA" w:rsidRDefault="000757EA" w:rsidP="000757EA">
      <w:pPr>
        <w:pStyle w:val="BodyText"/>
        <w:rPr>
          <w:lang w:eastAsia="en-AU"/>
        </w:rPr>
      </w:pPr>
    </w:p>
    <w:p w14:paraId="15551510" w14:textId="49F7ACAA" w:rsidR="007101DF" w:rsidRDefault="00061B0D" w:rsidP="001C38F7">
      <w:pPr>
        <w:pStyle w:val="Heading2"/>
      </w:pPr>
      <w:bookmarkStart w:id="78" w:name="_Toc117694688"/>
      <w:r>
        <w:lastRenderedPageBreak/>
        <w:t xml:space="preserve">Improving the Health of </w:t>
      </w:r>
      <w:r w:rsidR="001C38F7">
        <w:t>Waterways Flowing into the Gippsland Lakes and the Tambo, Nicholson, and Mitchell Rivers</w:t>
      </w:r>
      <w:bookmarkEnd w:id="78"/>
    </w:p>
    <w:p w14:paraId="745EFA59" w14:textId="59D54971" w:rsidR="00657621" w:rsidRDefault="00657621" w:rsidP="00657621">
      <w:pPr>
        <w:pStyle w:val="BodyText"/>
        <w:rPr>
          <w:lang w:eastAsia="en-AU"/>
        </w:rPr>
      </w:pPr>
      <w:r>
        <w:rPr>
          <w:lang w:eastAsia="en-AU"/>
        </w:rPr>
        <w:t xml:space="preserve">East Gippsland Water has an offtake on the Tambo River at Swifts Creek that provides potable water to the township of Swifts Creek and surrounds. The offtake is situated just above the Swifts Creek township and is surrounded by farms, predominately running grazing stock. Where cattle have access to the river at the offtake and upstream, they pollute the raw water source and damage the riparian vegetation. </w:t>
      </w:r>
    </w:p>
    <w:p w14:paraId="2EBA8064" w14:textId="58FC2852" w:rsidR="001C38F7" w:rsidRDefault="00657621" w:rsidP="00657621">
      <w:pPr>
        <w:pStyle w:val="BodyText"/>
        <w:rPr>
          <w:lang w:eastAsia="en-AU"/>
        </w:rPr>
      </w:pPr>
      <w:r>
        <w:rPr>
          <w:lang w:eastAsia="en-AU"/>
        </w:rPr>
        <w:t xml:space="preserve">East Gippsland Water and East Gippsland Catchment Management Authority have worked together with the local farming community to fence and revegetate the Tambo River at the town offtake and upstream – a project initiated as part of the 2018 SDS to improve water quality, bank stability and the quality of riparian vegetation. This continuing project seeks to engage more landholders along the Tambo River and </w:t>
      </w:r>
      <w:r w:rsidR="000C297D">
        <w:rPr>
          <w:lang w:eastAsia="en-AU"/>
        </w:rPr>
        <w:t xml:space="preserve">then </w:t>
      </w:r>
      <w:r>
        <w:rPr>
          <w:lang w:eastAsia="en-AU"/>
        </w:rPr>
        <w:t>extend the approach to other farming areas that drain into the Gippsland Lakes and Nicholson and Mitchell Rivers.</w:t>
      </w:r>
    </w:p>
    <w:p w14:paraId="018ED6DA" w14:textId="5CA3AED9" w:rsidR="009A4FA3" w:rsidRDefault="009A4FA3" w:rsidP="009A4FA3">
      <w:pPr>
        <w:pStyle w:val="CaptionImageorFigure"/>
      </w:pPr>
      <w:r>
        <w:t>Table 16: A summary of key details for the</w:t>
      </w:r>
      <w:r w:rsidR="002B2552" w:rsidRPr="002B2552">
        <w:t xml:space="preserve"> Improving the Health of Waterways Flowing into the Gippsland Lakes and the Tambo, Nicholson, and Mitchell Rivers</w:t>
      </w:r>
      <w:r>
        <w:t xml:space="preserve"> opportunity</w:t>
      </w:r>
    </w:p>
    <w:tbl>
      <w:tblPr>
        <w:tblStyle w:val="TableGrid"/>
        <w:tblW w:w="9648" w:type="dxa"/>
        <w:tblInd w:w="-10" w:type="dxa"/>
        <w:tblLook w:val="04A0" w:firstRow="1" w:lastRow="0" w:firstColumn="1" w:lastColumn="0" w:noHBand="0" w:noVBand="1"/>
      </w:tblPr>
      <w:tblGrid>
        <w:gridCol w:w="10"/>
        <w:gridCol w:w="2258"/>
        <w:gridCol w:w="10"/>
        <w:gridCol w:w="7360"/>
        <w:gridCol w:w="10"/>
      </w:tblGrid>
      <w:tr w:rsidR="009A4FA3" w14:paraId="676F69F7" w14:textId="77777777" w:rsidTr="00584993">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0000000100" w:firstRow="0" w:lastRow="0" w:firstColumn="0" w:lastColumn="0" w:oddVBand="0" w:evenVBand="0" w:oddHBand="0" w:evenHBand="0" w:firstRowFirstColumn="1" w:firstRowLastColumn="0" w:lastRowFirstColumn="0" w:lastRowLastColumn="0"/>
            <w:tcW w:w="2268" w:type="dxa"/>
            <w:gridSpan w:val="2"/>
          </w:tcPr>
          <w:p w14:paraId="5FD5273C" w14:textId="77777777" w:rsidR="009A4FA3" w:rsidRPr="003E3DC3" w:rsidRDefault="009A4FA3" w:rsidP="00584993">
            <w:pPr>
              <w:pStyle w:val="TableHeadingLeft"/>
              <w:rPr>
                <w:sz w:val="24"/>
                <w:szCs w:val="36"/>
              </w:rPr>
            </w:pPr>
            <w:r w:rsidRPr="003E3DC3">
              <w:rPr>
                <w:sz w:val="24"/>
                <w:szCs w:val="36"/>
              </w:rPr>
              <w:t>Subject</w:t>
            </w:r>
          </w:p>
        </w:tc>
        <w:tc>
          <w:tcPr>
            <w:tcW w:w="7370" w:type="dxa"/>
            <w:gridSpan w:val="2"/>
          </w:tcPr>
          <w:p w14:paraId="0F4F11ED" w14:textId="77777777" w:rsidR="009A4FA3" w:rsidRPr="003E3DC3" w:rsidRDefault="009A4FA3"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9A4FA3" w14:paraId="188C9913" w14:textId="77777777" w:rsidTr="00584993">
        <w:trPr>
          <w:gridAfter w:val="1"/>
          <w:wAfter w:w="10" w:type="dxa"/>
        </w:trPr>
        <w:tc>
          <w:tcPr>
            <w:tcW w:w="2268" w:type="dxa"/>
            <w:gridSpan w:val="2"/>
          </w:tcPr>
          <w:p w14:paraId="384123C3" w14:textId="77777777" w:rsidR="009A4FA3" w:rsidRPr="003E3DC3" w:rsidRDefault="009A4FA3" w:rsidP="00584993">
            <w:pPr>
              <w:pStyle w:val="BodyText"/>
              <w:rPr>
                <w:b/>
                <w:bCs/>
              </w:rPr>
            </w:pPr>
            <w:r w:rsidRPr="003E3DC3">
              <w:rPr>
                <w:b/>
                <w:bCs/>
              </w:rPr>
              <w:t>Status</w:t>
            </w:r>
          </w:p>
        </w:tc>
        <w:tc>
          <w:tcPr>
            <w:tcW w:w="7370" w:type="dxa"/>
            <w:gridSpan w:val="2"/>
          </w:tcPr>
          <w:p w14:paraId="3605D36C" w14:textId="61B1656F" w:rsidR="009A4FA3" w:rsidRPr="003E3DC3" w:rsidRDefault="002B2552" w:rsidP="00584993">
            <w:pPr>
              <w:pStyle w:val="BodyText"/>
            </w:pPr>
            <w:r>
              <w:t>Implementation</w:t>
            </w:r>
          </w:p>
        </w:tc>
      </w:tr>
      <w:tr w:rsidR="009A4FA3" w14:paraId="49A055B9" w14:textId="77777777" w:rsidTr="00584993">
        <w:trPr>
          <w:gridAfter w:val="1"/>
          <w:wAfter w:w="10" w:type="dxa"/>
        </w:trPr>
        <w:tc>
          <w:tcPr>
            <w:tcW w:w="2268" w:type="dxa"/>
            <w:gridSpan w:val="2"/>
          </w:tcPr>
          <w:p w14:paraId="64D92246" w14:textId="77777777" w:rsidR="009A4FA3" w:rsidRPr="003E3DC3" w:rsidRDefault="009A4FA3" w:rsidP="00584993">
            <w:pPr>
              <w:pStyle w:val="BodyText"/>
              <w:rPr>
                <w:b/>
                <w:bCs/>
              </w:rPr>
            </w:pPr>
            <w:r w:rsidRPr="003E3DC3">
              <w:rPr>
                <w:b/>
                <w:bCs/>
              </w:rPr>
              <w:t xml:space="preserve">Lead </w:t>
            </w:r>
            <w:r>
              <w:rPr>
                <w:b/>
                <w:bCs/>
              </w:rPr>
              <w:t>agency</w:t>
            </w:r>
          </w:p>
        </w:tc>
        <w:tc>
          <w:tcPr>
            <w:tcW w:w="7370" w:type="dxa"/>
            <w:gridSpan w:val="2"/>
          </w:tcPr>
          <w:p w14:paraId="7904D65B" w14:textId="202326E1" w:rsidR="009A4FA3" w:rsidRPr="003E3DC3" w:rsidRDefault="009A4FA3" w:rsidP="00584993">
            <w:pPr>
              <w:pStyle w:val="BodyText"/>
            </w:pPr>
            <w:r>
              <w:t xml:space="preserve">East Gippsland </w:t>
            </w:r>
            <w:r w:rsidR="00A62F5C">
              <w:t>Catchment Management Authority</w:t>
            </w:r>
          </w:p>
        </w:tc>
      </w:tr>
      <w:tr w:rsidR="009A4FA3" w14:paraId="52E2A493" w14:textId="77777777" w:rsidTr="00584993">
        <w:trPr>
          <w:gridAfter w:val="1"/>
          <w:wAfter w:w="10" w:type="dxa"/>
        </w:trPr>
        <w:tc>
          <w:tcPr>
            <w:tcW w:w="2268" w:type="dxa"/>
            <w:gridSpan w:val="2"/>
          </w:tcPr>
          <w:p w14:paraId="27056D01" w14:textId="77777777" w:rsidR="009A4FA3" w:rsidRPr="003E3DC3" w:rsidRDefault="009A4FA3" w:rsidP="00584993">
            <w:pPr>
              <w:pStyle w:val="BodyText"/>
              <w:rPr>
                <w:b/>
                <w:bCs/>
              </w:rPr>
            </w:pPr>
            <w:r w:rsidRPr="003E3DC3">
              <w:rPr>
                <w:b/>
                <w:bCs/>
              </w:rPr>
              <w:t>Implementation partners</w:t>
            </w:r>
          </w:p>
        </w:tc>
        <w:tc>
          <w:tcPr>
            <w:tcW w:w="7370" w:type="dxa"/>
            <w:gridSpan w:val="2"/>
          </w:tcPr>
          <w:p w14:paraId="16338E31" w14:textId="6CB64862" w:rsidR="009A4FA3" w:rsidRPr="003E3DC3" w:rsidRDefault="009A4FA3" w:rsidP="00584993">
            <w:pPr>
              <w:pStyle w:val="BodyText"/>
            </w:pPr>
            <w:r>
              <w:t>East Gippsland Water</w:t>
            </w:r>
          </w:p>
        </w:tc>
      </w:tr>
      <w:tr w:rsidR="009A4FA3" w14:paraId="553CA2E8" w14:textId="77777777" w:rsidTr="00584993">
        <w:trPr>
          <w:gridAfter w:val="1"/>
          <w:wAfter w:w="10" w:type="dxa"/>
        </w:trPr>
        <w:tc>
          <w:tcPr>
            <w:tcW w:w="2268" w:type="dxa"/>
            <w:gridSpan w:val="2"/>
          </w:tcPr>
          <w:p w14:paraId="5BD06CC6" w14:textId="77777777" w:rsidR="009A4FA3" w:rsidRPr="003E3DC3" w:rsidRDefault="009A4FA3" w:rsidP="00584993">
            <w:pPr>
              <w:pStyle w:val="BodyText"/>
              <w:rPr>
                <w:b/>
                <w:bCs/>
              </w:rPr>
            </w:pPr>
            <w:r w:rsidRPr="003E3DC3">
              <w:rPr>
                <w:b/>
                <w:bCs/>
              </w:rPr>
              <w:t>Location</w:t>
            </w:r>
          </w:p>
        </w:tc>
        <w:tc>
          <w:tcPr>
            <w:tcW w:w="7370" w:type="dxa"/>
            <w:gridSpan w:val="2"/>
          </w:tcPr>
          <w:p w14:paraId="65E9CBCF" w14:textId="22708605" w:rsidR="009A4FA3" w:rsidRPr="003E3DC3" w:rsidRDefault="00A62F5C" w:rsidP="00584993">
            <w:pPr>
              <w:pStyle w:val="BodyText"/>
            </w:pPr>
            <w:r>
              <w:t>Swifts Creek</w:t>
            </w:r>
          </w:p>
        </w:tc>
      </w:tr>
      <w:tr w:rsidR="009A4FA3" w14:paraId="6C727EF9" w14:textId="77777777" w:rsidTr="00584993">
        <w:trPr>
          <w:gridAfter w:val="1"/>
          <w:wAfter w:w="10" w:type="dxa"/>
        </w:trPr>
        <w:tc>
          <w:tcPr>
            <w:tcW w:w="2268" w:type="dxa"/>
            <w:gridSpan w:val="2"/>
          </w:tcPr>
          <w:p w14:paraId="12428EE7" w14:textId="77777777" w:rsidR="009A4FA3" w:rsidRPr="003E3DC3" w:rsidRDefault="009A4FA3" w:rsidP="00584993">
            <w:pPr>
              <w:pStyle w:val="BodyText"/>
              <w:rPr>
                <w:b/>
                <w:bCs/>
              </w:rPr>
            </w:pPr>
            <w:r>
              <w:rPr>
                <w:b/>
                <w:bCs/>
              </w:rPr>
              <w:t>Scale</w:t>
            </w:r>
          </w:p>
        </w:tc>
        <w:tc>
          <w:tcPr>
            <w:tcW w:w="7370" w:type="dxa"/>
            <w:gridSpan w:val="2"/>
          </w:tcPr>
          <w:p w14:paraId="1E70E79F" w14:textId="3E29B17E" w:rsidR="009A4FA3" w:rsidRDefault="00A62F5C" w:rsidP="00584993">
            <w:pPr>
              <w:pStyle w:val="BodyText"/>
            </w:pPr>
            <w:r>
              <w:t>Catchment</w:t>
            </w:r>
          </w:p>
        </w:tc>
      </w:tr>
    </w:tbl>
    <w:p w14:paraId="7F7E09D8" w14:textId="0E77AB9A" w:rsidR="009A4FA3" w:rsidRDefault="009A4FA3" w:rsidP="009A4FA3">
      <w:pPr>
        <w:pStyle w:val="CaptionImageorFigure"/>
      </w:pPr>
      <w:r>
        <w:t>Table 17: A summary of the impact that the</w:t>
      </w:r>
      <w:r w:rsidRPr="001351AB">
        <w:t xml:space="preserve"> </w:t>
      </w:r>
      <w:r w:rsidR="002B2552" w:rsidRPr="002B2552">
        <w:t>Improving the Health of Waterways Flowing into the Gippsland Lakes and the Tambo, Nicholson, and Mitchell Rivers</w:t>
      </w:r>
      <w:r w:rsidR="002B2552">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9A4FA3" w14:paraId="3AAC0219"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14C992F" w14:textId="77777777" w:rsidR="009A4FA3" w:rsidRPr="003E3DC3" w:rsidRDefault="009A4FA3" w:rsidP="00584993">
            <w:pPr>
              <w:pStyle w:val="TableHeadingLeft"/>
              <w:rPr>
                <w:sz w:val="24"/>
                <w:szCs w:val="36"/>
              </w:rPr>
            </w:pPr>
            <w:r w:rsidRPr="003E3DC3">
              <w:rPr>
                <w:sz w:val="24"/>
                <w:szCs w:val="36"/>
              </w:rPr>
              <w:t>IWM outcome</w:t>
            </w:r>
          </w:p>
        </w:tc>
        <w:tc>
          <w:tcPr>
            <w:tcW w:w="2265" w:type="dxa"/>
          </w:tcPr>
          <w:p w14:paraId="129D6157" w14:textId="77777777" w:rsidR="009A4FA3" w:rsidRPr="003E3DC3" w:rsidRDefault="009A4FA3" w:rsidP="00584993">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9A4FA3" w14:paraId="531E0BB5" w14:textId="77777777" w:rsidTr="00584993">
        <w:tc>
          <w:tcPr>
            <w:tcW w:w="7354" w:type="dxa"/>
          </w:tcPr>
          <w:p w14:paraId="73D95B76" w14:textId="77777777" w:rsidR="009A4FA3" w:rsidRDefault="009A4FA3" w:rsidP="00584993">
            <w:pPr>
              <w:pStyle w:val="BodyText"/>
              <w:rPr>
                <w:lang w:eastAsia="en-AU"/>
              </w:rPr>
            </w:pPr>
            <w:r w:rsidRPr="002F5B60">
              <w:rPr>
                <w:lang w:eastAsia="en-AU"/>
              </w:rPr>
              <w:t>safe, secure and affordable supplies in a changing future</w:t>
            </w:r>
          </w:p>
        </w:tc>
        <w:tc>
          <w:tcPr>
            <w:tcW w:w="2265" w:type="dxa"/>
          </w:tcPr>
          <w:p w14:paraId="7496AAA9" w14:textId="25F0BFC4" w:rsidR="009A4FA3" w:rsidRDefault="00A62F5C" w:rsidP="00584993">
            <w:pPr>
              <w:pStyle w:val="BodyText"/>
              <w:rPr>
                <w:lang w:eastAsia="en-AU"/>
              </w:rPr>
            </w:pPr>
            <w:r>
              <w:t>Medium</w:t>
            </w:r>
            <w:r w:rsidR="009A4FA3">
              <w:t xml:space="preserve"> i</w:t>
            </w:r>
            <w:r w:rsidR="009A4FA3" w:rsidRPr="00E92304">
              <w:t>mpact</w:t>
            </w:r>
          </w:p>
        </w:tc>
      </w:tr>
      <w:tr w:rsidR="009A4FA3" w14:paraId="2AAB3EB7" w14:textId="77777777" w:rsidTr="00584993">
        <w:tc>
          <w:tcPr>
            <w:tcW w:w="7354" w:type="dxa"/>
          </w:tcPr>
          <w:p w14:paraId="42B3F166" w14:textId="77777777" w:rsidR="009A4FA3" w:rsidRDefault="009A4FA3" w:rsidP="00584993">
            <w:pPr>
              <w:pStyle w:val="BodyText"/>
              <w:rPr>
                <w:lang w:eastAsia="en-AU"/>
              </w:rPr>
            </w:pPr>
            <w:r w:rsidRPr="002F5B60">
              <w:rPr>
                <w:lang w:eastAsia="en-AU"/>
              </w:rPr>
              <w:t>effective and affordable wastewater systems</w:t>
            </w:r>
          </w:p>
        </w:tc>
        <w:tc>
          <w:tcPr>
            <w:tcW w:w="2265" w:type="dxa"/>
          </w:tcPr>
          <w:p w14:paraId="0C40BD4F" w14:textId="77777777" w:rsidR="009A4FA3" w:rsidRDefault="009A4FA3" w:rsidP="00584993">
            <w:pPr>
              <w:pStyle w:val="BodyText"/>
              <w:rPr>
                <w:lang w:eastAsia="en-AU"/>
              </w:rPr>
            </w:pPr>
            <w:r>
              <w:t>Low i</w:t>
            </w:r>
            <w:r w:rsidRPr="00E92304">
              <w:t>mpact</w:t>
            </w:r>
          </w:p>
        </w:tc>
      </w:tr>
      <w:tr w:rsidR="009A4FA3" w14:paraId="317FA2B5" w14:textId="77777777" w:rsidTr="00584993">
        <w:tc>
          <w:tcPr>
            <w:tcW w:w="7354" w:type="dxa"/>
          </w:tcPr>
          <w:p w14:paraId="0691C31B" w14:textId="77777777" w:rsidR="009A4FA3" w:rsidRDefault="009A4FA3" w:rsidP="00584993">
            <w:pPr>
              <w:pStyle w:val="BodyText"/>
              <w:rPr>
                <w:lang w:eastAsia="en-AU"/>
              </w:rPr>
            </w:pPr>
            <w:r w:rsidRPr="00450552">
              <w:rPr>
                <w:lang w:eastAsia="en-AU"/>
              </w:rPr>
              <w:t>manage flood risks</w:t>
            </w:r>
          </w:p>
        </w:tc>
        <w:tc>
          <w:tcPr>
            <w:tcW w:w="2265" w:type="dxa"/>
          </w:tcPr>
          <w:p w14:paraId="20F6A75F" w14:textId="77777777" w:rsidR="009A4FA3" w:rsidRDefault="009A4FA3" w:rsidP="00584993">
            <w:pPr>
              <w:pStyle w:val="BodyText"/>
              <w:rPr>
                <w:lang w:eastAsia="en-AU"/>
              </w:rPr>
            </w:pPr>
            <w:r>
              <w:t>Medium i</w:t>
            </w:r>
            <w:r w:rsidRPr="00E92304">
              <w:t>mpact</w:t>
            </w:r>
          </w:p>
        </w:tc>
      </w:tr>
      <w:tr w:rsidR="009A4FA3" w14:paraId="6CFC2F6D" w14:textId="77777777" w:rsidTr="00584993">
        <w:tc>
          <w:tcPr>
            <w:tcW w:w="7354" w:type="dxa"/>
          </w:tcPr>
          <w:p w14:paraId="0891C044" w14:textId="77777777" w:rsidR="009A4FA3" w:rsidRDefault="009A4FA3" w:rsidP="00584993">
            <w:pPr>
              <w:pStyle w:val="BodyText"/>
              <w:rPr>
                <w:lang w:eastAsia="en-AU"/>
              </w:rPr>
            </w:pPr>
            <w:r w:rsidRPr="00450552">
              <w:rPr>
                <w:lang w:eastAsia="en-AU"/>
              </w:rPr>
              <w:t>healthy and valued waterways and waterbodies</w:t>
            </w:r>
          </w:p>
        </w:tc>
        <w:tc>
          <w:tcPr>
            <w:tcW w:w="2265" w:type="dxa"/>
          </w:tcPr>
          <w:p w14:paraId="5A89A141" w14:textId="77777777" w:rsidR="009A4FA3" w:rsidRDefault="009A4FA3" w:rsidP="00584993">
            <w:pPr>
              <w:pStyle w:val="BodyText"/>
              <w:rPr>
                <w:lang w:eastAsia="en-AU"/>
              </w:rPr>
            </w:pPr>
            <w:r>
              <w:t>High i</w:t>
            </w:r>
            <w:r w:rsidRPr="00E92304">
              <w:t>mpact</w:t>
            </w:r>
          </w:p>
        </w:tc>
      </w:tr>
      <w:tr w:rsidR="009A4FA3" w14:paraId="5606CA9A" w14:textId="77777777" w:rsidTr="00584993">
        <w:tc>
          <w:tcPr>
            <w:tcW w:w="7354" w:type="dxa"/>
          </w:tcPr>
          <w:p w14:paraId="21B44942" w14:textId="77777777" w:rsidR="009A4FA3" w:rsidRDefault="009A4FA3" w:rsidP="00584993">
            <w:pPr>
              <w:pStyle w:val="BodyText"/>
              <w:rPr>
                <w:lang w:eastAsia="en-AU"/>
              </w:rPr>
            </w:pPr>
            <w:r w:rsidRPr="00450552">
              <w:rPr>
                <w:lang w:eastAsia="en-AU"/>
              </w:rPr>
              <w:lastRenderedPageBreak/>
              <w:t>healthy and valued landscapes</w:t>
            </w:r>
          </w:p>
        </w:tc>
        <w:tc>
          <w:tcPr>
            <w:tcW w:w="2265" w:type="dxa"/>
          </w:tcPr>
          <w:p w14:paraId="1C6B28BE" w14:textId="77777777" w:rsidR="009A4FA3" w:rsidRDefault="009A4FA3" w:rsidP="00584993">
            <w:pPr>
              <w:pStyle w:val="BodyText"/>
              <w:rPr>
                <w:lang w:eastAsia="en-AU"/>
              </w:rPr>
            </w:pPr>
            <w:r>
              <w:t>High impact</w:t>
            </w:r>
          </w:p>
        </w:tc>
      </w:tr>
      <w:tr w:rsidR="009A4FA3" w14:paraId="53C32DEA" w14:textId="77777777" w:rsidTr="00584993">
        <w:tc>
          <w:tcPr>
            <w:tcW w:w="7354" w:type="dxa"/>
          </w:tcPr>
          <w:p w14:paraId="5D975E05" w14:textId="77777777" w:rsidR="009A4FA3" w:rsidRDefault="009A4FA3" w:rsidP="00584993">
            <w:pPr>
              <w:pStyle w:val="BodyText"/>
              <w:rPr>
                <w:lang w:eastAsia="en-AU"/>
              </w:rPr>
            </w:pPr>
            <w:r w:rsidRPr="00450552">
              <w:rPr>
                <w:lang w:eastAsia="en-AU"/>
              </w:rPr>
              <w:t xml:space="preserve">Traditional Owner </w:t>
            </w:r>
            <w:r>
              <w:rPr>
                <w:lang w:eastAsia="en-AU"/>
              </w:rPr>
              <w:t>values, opportunities, and inclusion</w:t>
            </w:r>
          </w:p>
        </w:tc>
        <w:tc>
          <w:tcPr>
            <w:tcW w:w="2265" w:type="dxa"/>
          </w:tcPr>
          <w:p w14:paraId="12FECB1F" w14:textId="02C42949" w:rsidR="009A4FA3" w:rsidRDefault="00372737" w:rsidP="00584993">
            <w:pPr>
              <w:pStyle w:val="BodyText"/>
              <w:rPr>
                <w:lang w:eastAsia="en-AU"/>
              </w:rPr>
            </w:pPr>
            <w:r>
              <w:t>Medium</w:t>
            </w:r>
            <w:r w:rsidR="009A4FA3">
              <w:t xml:space="preserve"> impact</w:t>
            </w:r>
          </w:p>
        </w:tc>
      </w:tr>
      <w:tr w:rsidR="009A4FA3" w14:paraId="208C1651" w14:textId="77777777" w:rsidTr="00584993">
        <w:tc>
          <w:tcPr>
            <w:tcW w:w="7354" w:type="dxa"/>
          </w:tcPr>
          <w:p w14:paraId="01C5590E" w14:textId="1FFEF496" w:rsidR="009A4FA3" w:rsidRPr="00450552" w:rsidRDefault="002954FB" w:rsidP="00584993">
            <w:pPr>
              <w:pStyle w:val="BodyText"/>
              <w:rPr>
                <w:lang w:eastAsia="en-AU"/>
              </w:rPr>
            </w:pPr>
            <w:r>
              <w:rPr>
                <w:lang w:eastAsia="en-AU"/>
              </w:rPr>
              <w:t>c</w:t>
            </w:r>
            <w:r w:rsidR="009A4FA3">
              <w:rPr>
                <w:lang w:eastAsia="en-AU"/>
              </w:rPr>
              <w:t>ommunity values reflected in place-based planning</w:t>
            </w:r>
          </w:p>
        </w:tc>
        <w:tc>
          <w:tcPr>
            <w:tcW w:w="2265" w:type="dxa"/>
          </w:tcPr>
          <w:p w14:paraId="0AF628E9" w14:textId="337E8202" w:rsidR="009A4FA3" w:rsidRPr="00E92304" w:rsidRDefault="00372737" w:rsidP="00584993">
            <w:pPr>
              <w:pStyle w:val="BodyText"/>
            </w:pPr>
            <w:r>
              <w:t>Medium</w:t>
            </w:r>
            <w:r w:rsidR="009A4FA3">
              <w:t xml:space="preserve"> impact</w:t>
            </w:r>
          </w:p>
        </w:tc>
      </w:tr>
      <w:tr w:rsidR="009A4FA3" w14:paraId="4F01A291" w14:textId="77777777" w:rsidTr="00584993">
        <w:tc>
          <w:tcPr>
            <w:tcW w:w="7354" w:type="dxa"/>
          </w:tcPr>
          <w:p w14:paraId="3940D737" w14:textId="77777777" w:rsidR="009A4FA3" w:rsidRDefault="009A4FA3" w:rsidP="00584993">
            <w:pPr>
              <w:pStyle w:val="BodyText"/>
              <w:rPr>
                <w:lang w:eastAsia="en-AU"/>
              </w:rPr>
            </w:pPr>
            <w:r w:rsidRPr="00450552">
              <w:rPr>
                <w:lang w:eastAsia="en-AU"/>
              </w:rPr>
              <w:t>jobs, economic opportunity and innovation</w:t>
            </w:r>
          </w:p>
        </w:tc>
        <w:tc>
          <w:tcPr>
            <w:tcW w:w="2265" w:type="dxa"/>
          </w:tcPr>
          <w:p w14:paraId="078D339C" w14:textId="1C622822" w:rsidR="009A4FA3" w:rsidRDefault="00372737" w:rsidP="00584993">
            <w:pPr>
              <w:pStyle w:val="BodyText"/>
              <w:rPr>
                <w:lang w:eastAsia="en-AU"/>
              </w:rPr>
            </w:pPr>
            <w:r>
              <w:t>Low</w:t>
            </w:r>
            <w:r w:rsidR="009A4FA3" w:rsidRPr="00E92304">
              <w:t xml:space="preserve"> Impact</w:t>
            </w:r>
          </w:p>
        </w:tc>
      </w:tr>
      <w:bookmarkEnd w:id="66"/>
    </w:tbl>
    <w:p w14:paraId="016F9515" w14:textId="77777777" w:rsidR="00657621" w:rsidRPr="001C38F7" w:rsidRDefault="00657621" w:rsidP="00657621">
      <w:pPr>
        <w:pStyle w:val="BodyText"/>
        <w:rPr>
          <w:lang w:eastAsia="en-AU"/>
        </w:rPr>
      </w:pPr>
    </w:p>
    <w:sectPr w:rsidR="00657621" w:rsidRPr="001C38F7" w:rsidSect="002879FF">
      <w:headerReference w:type="even" r:id="rId48"/>
      <w:headerReference w:type="default" r:id="rId49"/>
      <w:footerReference w:type="even" r:id="rId50"/>
      <w:footerReference w:type="default" r:id="rId51"/>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4BC5A" w14:textId="77777777" w:rsidR="002159A3" w:rsidRDefault="002159A3">
      <w:r>
        <w:separator/>
      </w:r>
    </w:p>
    <w:p w14:paraId="27AAB45E" w14:textId="77777777" w:rsidR="002159A3" w:rsidRDefault="002159A3"/>
  </w:endnote>
  <w:endnote w:type="continuationSeparator" w:id="0">
    <w:p w14:paraId="6B7AC16A" w14:textId="77777777" w:rsidR="002159A3" w:rsidRDefault="002159A3">
      <w:r>
        <w:continuationSeparator/>
      </w:r>
    </w:p>
    <w:p w14:paraId="5F5B0088" w14:textId="77777777" w:rsidR="002159A3" w:rsidRDefault="002159A3"/>
  </w:endnote>
  <w:endnote w:type="continuationNotice" w:id="1">
    <w:p w14:paraId="76E6FD4F" w14:textId="77777777" w:rsidR="002159A3" w:rsidRDefault="002159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B6CFBFF" w14:textId="77777777" w:rsidTr="00D83BD4">
      <w:trPr>
        <w:trHeight w:val="397"/>
      </w:trPr>
      <w:tc>
        <w:tcPr>
          <w:tcW w:w="340" w:type="dxa"/>
        </w:tcPr>
        <w:p w14:paraId="1E5C4A02"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58FDF0E" w14:textId="77777777" w:rsidR="008D4D17" w:rsidRPr="00D55628" w:rsidRDefault="008D4D17" w:rsidP="00D55628">
          <w:pPr>
            <w:pStyle w:val="FooterEven"/>
          </w:pPr>
          <w:r w:rsidRPr="000A15E4">
            <w:rPr>
              <w:rStyle w:val="Bold"/>
            </w:rPr>
            <w:t>Title of document</w:t>
          </w:r>
          <w:r w:rsidRPr="00D55628">
            <w:t xml:space="preserve"> Subtitle</w:t>
          </w:r>
        </w:p>
      </w:tc>
    </w:tr>
  </w:tbl>
  <w:p w14:paraId="6F0C2C4B"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2094E" w14:textId="34107B35" w:rsidR="008D4D17" w:rsidRDefault="008D4D17">
    <w:pPr>
      <w:pStyle w:val="Footer"/>
    </w:pPr>
    <w:r>
      <w:rPr>
        <w:noProof/>
      </w:rPr>
      <w:drawing>
        <wp:anchor distT="0" distB="0" distL="114300" distR="114300" simplePos="0" relativeHeight="251658243" behindDoc="1" locked="1" layoutInCell="1" allowOverlap="1" wp14:anchorId="5BDCCD5B" wp14:editId="77536FE6">
          <wp:simplePos x="0" y="0"/>
          <wp:positionH relativeFrom="page">
            <wp:align>left</wp:align>
          </wp:positionH>
          <wp:positionV relativeFrom="page">
            <wp:align>bottom</wp:align>
          </wp:positionV>
          <wp:extent cx="2008800" cy="950400"/>
          <wp:effectExtent l="0" t="0" r="0" b="2540"/>
          <wp:wrapNone/>
          <wp:docPr id="1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788A8E9F" wp14:editId="25DC229A">
          <wp:simplePos x="0" y="0"/>
          <wp:positionH relativeFrom="page">
            <wp:align>right</wp:align>
          </wp:positionH>
          <wp:positionV relativeFrom="page">
            <wp:align>bottom</wp:align>
          </wp:positionV>
          <wp:extent cx="2527200" cy="1057955"/>
          <wp:effectExtent l="0" t="0" r="0" b="0"/>
          <wp:wrapNone/>
          <wp:docPr id="16"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4E731246" wp14:editId="092845B1">
          <wp:simplePos x="0" y="0"/>
          <wp:positionH relativeFrom="page">
            <wp:align>right</wp:align>
          </wp:positionH>
          <wp:positionV relativeFrom="page">
            <wp:align>bottom</wp:align>
          </wp:positionV>
          <wp:extent cx="2520000" cy="1062000"/>
          <wp:effectExtent l="0" t="0" r="0" b="0"/>
          <wp:wrapNone/>
          <wp:docPr id="17"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AA363"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1" behindDoc="1" locked="1" layoutInCell="1" allowOverlap="1" wp14:anchorId="63C2E9E0" wp14:editId="08361D93">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2E9E0" id="_x0000_t202" coordsize="21600,21600" o:spt="202" path="m,l,21600r21600,l21600,xe">
              <v:stroke joinstyle="miter"/>
              <v:path gradientshapeok="t" o:connecttype="rect"/>
            </v:shapetype>
            <v:shape id="Text Box 225" o:spid="_x0000_s1027" type="#_x0000_t202" alt="&quot;&quot;"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" filled="f" stroked="f">
              <v:textbo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B9676" w14:textId="77777777" w:rsidR="002174EC" w:rsidRDefault="002174EC">
    <w:pPr>
      <w:pStyle w:val="Footer"/>
    </w:pPr>
    <w:r>
      <w:rPr>
        <w:noProof/>
      </w:rPr>
      <w:drawing>
        <wp:anchor distT="0" distB="0" distL="114300" distR="114300" simplePos="0" relativeHeight="251658246" behindDoc="1" locked="1" layoutInCell="1" allowOverlap="1" wp14:anchorId="3AE7FC24" wp14:editId="1F19441B">
          <wp:simplePos x="0" y="0"/>
          <wp:positionH relativeFrom="page">
            <wp:align>left</wp:align>
          </wp:positionH>
          <wp:positionV relativeFrom="page">
            <wp:align>bottom</wp:align>
          </wp:positionV>
          <wp:extent cx="2008800" cy="950400"/>
          <wp:effectExtent l="0" t="0" r="0" b="2540"/>
          <wp:wrapNone/>
          <wp:docPr id="18"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1" layoutInCell="1" allowOverlap="1" wp14:anchorId="30381F68" wp14:editId="27568006">
          <wp:simplePos x="0" y="0"/>
          <wp:positionH relativeFrom="page">
            <wp:align>right</wp:align>
          </wp:positionH>
          <wp:positionV relativeFrom="page">
            <wp:align>bottom</wp:align>
          </wp:positionV>
          <wp:extent cx="2527200" cy="1057955"/>
          <wp:effectExtent l="0" t="0" r="0" b="0"/>
          <wp:wrapNone/>
          <wp:docPr id="19"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4" behindDoc="1" locked="1" layoutInCell="1" allowOverlap="1" wp14:anchorId="14FDFC71" wp14:editId="3C7A3335">
          <wp:simplePos x="0" y="0"/>
          <wp:positionH relativeFrom="page">
            <wp:align>right</wp:align>
          </wp:positionH>
          <wp:positionV relativeFrom="page">
            <wp:align>bottom</wp:align>
          </wp:positionV>
          <wp:extent cx="2520000" cy="1062000"/>
          <wp:effectExtent l="0" t="0" r="0" b="0"/>
          <wp:wrapNone/>
          <wp:docPr id="20"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04958B06" w14:textId="77777777" w:rsidTr="00FA74FA">
      <w:trPr>
        <w:trHeight w:val="397"/>
      </w:trPr>
      <w:tc>
        <w:tcPr>
          <w:tcW w:w="340" w:type="dxa"/>
        </w:tcPr>
        <w:p w14:paraId="74083C46" w14:textId="77777777" w:rsidR="002174EC" w:rsidRPr="00D55628" w:rsidRDefault="002174EC" w:rsidP="002174E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7AFD2CEE" w14:textId="4E889D8C" w:rsidR="002174EC" w:rsidRDefault="002174EC" w:rsidP="002174E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5DB1AF0E" w14:textId="248048EB" w:rsidR="002174EC" w:rsidRPr="00810C40" w:rsidRDefault="002879FF" w:rsidP="002174EC">
          <w:pPr>
            <w:pStyle w:val="FooterEven"/>
          </w:pPr>
          <w:fldSimple w:instr="DOCPROPERTY  xFooterSubtitle  \* MERGEFORMAT">
            <w:r>
              <w:t>Strategic Directions Statement</w:t>
            </w:r>
          </w:fldSimple>
        </w:p>
      </w:tc>
    </w:tr>
  </w:tbl>
  <w:p w14:paraId="78031DF9" w14:textId="50B4188B" w:rsidR="002174EC" w:rsidRDefault="002174EC" w:rsidP="002174EC">
    <w:pPr>
      <w:pStyle w:val="FooterEven"/>
    </w:pPr>
  </w:p>
  <w:p w14:paraId="6F996C0D" w14:textId="77777777" w:rsidR="002174EC" w:rsidRPr="002174EC" w:rsidRDefault="002174EC" w:rsidP="002174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70ACA4F9" w14:textId="77777777" w:rsidTr="00FA74FA">
      <w:trPr>
        <w:trHeight w:val="397"/>
      </w:trPr>
      <w:tc>
        <w:tcPr>
          <w:tcW w:w="9071" w:type="dxa"/>
        </w:tcPr>
        <w:p w14:paraId="1B6FAB5F" w14:textId="5FA24C09" w:rsidR="002174EC" w:rsidRDefault="002E0B17" w:rsidP="002174EC">
          <w:pPr>
            <w:pStyle w:val="FooterOdd"/>
            <w:rPr>
              <w:rStyle w:val="Bold"/>
            </w:rPr>
          </w:pPr>
          <w:r>
            <w:rPr>
              <w:rStyle w:val="Bold"/>
            </w:rPr>
            <w:t>East Gippsland</w:t>
          </w:r>
        </w:p>
        <w:p w14:paraId="260E1429" w14:textId="319BAF30" w:rsidR="002174EC" w:rsidRPr="00CB1FB7" w:rsidRDefault="002879FF" w:rsidP="002174EC">
          <w:pPr>
            <w:pStyle w:val="FooterOdd"/>
            <w:rPr>
              <w:b/>
            </w:rPr>
          </w:pPr>
          <w:fldSimple w:instr="DOCPROPERTY  xFooterSubtitle  \* MERGEFORMAT">
            <w:r>
              <w:t>Strategic Directions Statement</w:t>
            </w:r>
          </w:fldSimple>
        </w:p>
      </w:tc>
      <w:tc>
        <w:tcPr>
          <w:tcW w:w="340" w:type="dxa"/>
        </w:tcPr>
        <w:p w14:paraId="052828AA" w14:textId="77777777" w:rsidR="002174EC" w:rsidRPr="00D55628" w:rsidRDefault="002174EC" w:rsidP="002174E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A41CC89" w14:textId="35C076F7" w:rsidR="002174EC" w:rsidRDefault="002174EC" w:rsidP="002174EC">
    <w:pPr>
      <w:pStyle w:val="Footer"/>
    </w:pPr>
  </w:p>
  <w:p w14:paraId="420E4849" w14:textId="77777777" w:rsidR="002174EC" w:rsidRPr="002174EC" w:rsidRDefault="002174EC" w:rsidP="002174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74D8D0E6" w14:textId="77777777" w:rsidTr="00DD7238">
      <w:trPr>
        <w:trHeight w:val="397"/>
      </w:trPr>
      <w:tc>
        <w:tcPr>
          <w:tcW w:w="340" w:type="dxa"/>
        </w:tcPr>
        <w:p w14:paraId="3F5E8C9F" w14:textId="77777777" w:rsidR="002174EC" w:rsidRPr="00D55628" w:rsidRDefault="002174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945931E" w14:textId="1F80983F" w:rsidR="002174EC" w:rsidRDefault="002174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D29BA31" w14:textId="52B26AAB" w:rsidR="002174EC" w:rsidRPr="00810C40" w:rsidRDefault="002879FF" w:rsidP="00810C40">
          <w:pPr>
            <w:pStyle w:val="FooterEven"/>
          </w:pPr>
          <w:fldSimple w:instr="DOCPROPERTY  xFooterSubtitle  \* MERGEFORMAT">
            <w:r>
              <w:t>Strategic Directions Statement</w:t>
            </w:r>
          </w:fldSimple>
        </w:p>
      </w:tc>
    </w:tr>
  </w:tbl>
  <w:p w14:paraId="3CD3055C" w14:textId="0BBE16E7" w:rsidR="002174EC" w:rsidRDefault="002174EC" w:rsidP="005949B0">
    <w:pPr>
      <w:pStyle w:val="FooterEven"/>
    </w:pPr>
  </w:p>
  <w:p w14:paraId="0681735E" w14:textId="77777777" w:rsidR="002174EC" w:rsidRPr="00B5221E" w:rsidRDefault="002174EC"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5CA58905" w14:textId="77777777" w:rsidTr="00DD7238">
      <w:trPr>
        <w:trHeight w:val="397"/>
      </w:trPr>
      <w:tc>
        <w:tcPr>
          <w:tcW w:w="9071" w:type="dxa"/>
        </w:tcPr>
        <w:p w14:paraId="512DDBA1" w14:textId="68C0A293" w:rsidR="002174EC" w:rsidRDefault="007C0733" w:rsidP="00810C40">
          <w:pPr>
            <w:pStyle w:val="FooterOdd"/>
            <w:rPr>
              <w:rStyle w:val="Bold"/>
            </w:rPr>
          </w:pPr>
          <w:r>
            <w:rPr>
              <w:rStyle w:val="Bold"/>
            </w:rPr>
            <w:t>East Gippsland</w:t>
          </w:r>
        </w:p>
        <w:p w14:paraId="674F9637" w14:textId="0B3A5343" w:rsidR="002174EC" w:rsidRPr="00CB1FB7" w:rsidRDefault="002879FF" w:rsidP="00810C40">
          <w:pPr>
            <w:pStyle w:val="FooterOdd"/>
            <w:rPr>
              <w:b/>
            </w:rPr>
          </w:pPr>
          <w:fldSimple w:instr="DOCPROPERTY  xFooterSubtitle  \* MERGEFORMAT">
            <w:r>
              <w:t>Strategic Directions Statement</w:t>
            </w:r>
          </w:fldSimple>
        </w:p>
      </w:tc>
      <w:tc>
        <w:tcPr>
          <w:tcW w:w="340" w:type="dxa"/>
        </w:tcPr>
        <w:p w14:paraId="734296F1" w14:textId="77777777" w:rsidR="002174EC" w:rsidRPr="00D55628" w:rsidRDefault="002174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5866D31" w14:textId="4D20B7F6" w:rsidR="002174EC" w:rsidRDefault="002174EC">
    <w:pPr>
      <w:pStyle w:val="Footer"/>
    </w:pPr>
  </w:p>
  <w:p w14:paraId="2117CB9E" w14:textId="77777777" w:rsidR="002174EC" w:rsidRDefault="00217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210D0" w14:textId="77777777" w:rsidR="002159A3" w:rsidRPr="008F5280" w:rsidRDefault="002159A3" w:rsidP="008F5280">
      <w:pPr>
        <w:pStyle w:val="FootnoteSeparator"/>
      </w:pPr>
    </w:p>
  </w:footnote>
  <w:footnote w:type="continuationSeparator" w:id="0">
    <w:p w14:paraId="4F1F3D73" w14:textId="77777777" w:rsidR="002159A3" w:rsidRDefault="002159A3" w:rsidP="008F5280">
      <w:pPr>
        <w:pStyle w:val="FootnoteSeparator"/>
      </w:pPr>
    </w:p>
    <w:p w14:paraId="7C8549ED" w14:textId="77777777" w:rsidR="002159A3" w:rsidRDefault="002159A3"/>
  </w:footnote>
  <w:footnote w:type="continuationNotice" w:id="1">
    <w:p w14:paraId="5317D27E" w14:textId="77777777" w:rsidR="002159A3" w:rsidRDefault="002159A3" w:rsidP="00D55628"/>
    <w:p w14:paraId="53F3132C" w14:textId="77777777" w:rsidR="002159A3" w:rsidRDefault="002159A3"/>
  </w:footnote>
  <w:footnote w:id="2">
    <w:p w14:paraId="5BF01163" w14:textId="21A06B82" w:rsidR="00C70FA1" w:rsidRPr="004C2684" w:rsidRDefault="00C70FA1">
      <w:pPr>
        <w:pStyle w:val="FootnoteText"/>
        <w:rPr>
          <w:sz w:val="20"/>
          <w:szCs w:val="20"/>
        </w:rPr>
      </w:pPr>
      <w:r w:rsidRPr="004C2684">
        <w:rPr>
          <w:rStyle w:val="FootnoteReference"/>
          <w:sz w:val="20"/>
          <w:szCs w:val="20"/>
        </w:rPr>
        <w:footnoteRef/>
      </w:r>
      <w:r w:rsidRPr="004C2684">
        <w:rPr>
          <w:sz w:val="20"/>
          <w:szCs w:val="20"/>
        </w:rPr>
        <w:t xml:space="preserve"> </w:t>
      </w:r>
      <w:r w:rsidR="00386030" w:rsidRPr="004C2684">
        <w:rPr>
          <w:sz w:val="20"/>
          <w:szCs w:val="20"/>
        </w:rPr>
        <w:t>Victorian Food and Fibre Export Performance Report 2019-20</w:t>
      </w:r>
    </w:p>
  </w:footnote>
  <w:footnote w:id="3">
    <w:p w14:paraId="76DBFDC1" w14:textId="4F4CB859" w:rsidR="002109B9" w:rsidRPr="00F25801" w:rsidRDefault="002109B9">
      <w:pPr>
        <w:pStyle w:val="FootnoteText"/>
        <w:rPr>
          <w:sz w:val="20"/>
          <w:szCs w:val="20"/>
        </w:rPr>
      </w:pPr>
      <w:r w:rsidRPr="00F25801">
        <w:rPr>
          <w:rStyle w:val="FootnoteReference"/>
          <w:sz w:val="20"/>
          <w:szCs w:val="20"/>
        </w:rPr>
        <w:footnoteRef/>
      </w:r>
      <w:r w:rsidRPr="00F25801">
        <w:rPr>
          <w:sz w:val="20"/>
          <w:szCs w:val="20"/>
        </w:rPr>
        <w:t xml:space="preserve"> </w:t>
      </w:r>
      <w:r w:rsidR="00F25801" w:rsidRPr="00F25801">
        <w:rPr>
          <w:sz w:val="20"/>
          <w:szCs w:val="20"/>
        </w:rPr>
        <w:t>Victoria in Future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4195F" w14:textId="77777777" w:rsidR="008D4D17" w:rsidRDefault="008D4D17" w:rsidP="009C64FA">
    <w:pPr>
      <w:pStyle w:val="Header"/>
    </w:pPr>
  </w:p>
  <w:p w14:paraId="0ACE41CA"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A1EA"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8B5B6" w14:textId="77777777" w:rsidR="002174EC" w:rsidRPr="002174EC" w:rsidRDefault="002174EC" w:rsidP="00217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A7C0" w14:textId="77777777" w:rsidR="002174EC" w:rsidRPr="002174EC" w:rsidRDefault="002174EC" w:rsidP="002174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3495" w14:textId="77777777" w:rsidR="002174EC" w:rsidRDefault="00217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93AE" w14:textId="77777777" w:rsidR="002174EC" w:rsidRDefault="002174EC" w:rsidP="009C64FA">
    <w:pPr>
      <w:pStyle w:val="Header"/>
    </w:pPr>
  </w:p>
  <w:p w14:paraId="53CF3002" w14:textId="77777777" w:rsidR="002174EC" w:rsidRPr="00393205" w:rsidRDefault="002174E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B37FE"/>
    <w:multiLevelType w:val="multilevel"/>
    <w:tmpl w:val="33B62D90"/>
    <w:name w:val="DEPIListBullets"/>
    <w:lvl w:ilvl="0">
      <w:start w:val="1"/>
      <w:numFmt w:val="bullet"/>
      <w:pStyle w:val="ListBullet"/>
      <w:lvlText w:val=""/>
      <w:lvlJc w:val="left"/>
      <w:pPr>
        <w:ind w:left="567" w:hanging="397"/>
      </w:pPr>
      <w:rPr>
        <w:rFonts w:ascii="Symbol" w:hAnsi="Symbol" w:hint="default"/>
        <w:b w:val="0"/>
        <w:i w:val="0"/>
        <w:color w:val="393838"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1CC7B2B"/>
    <w:multiLevelType w:val="hybridMultilevel"/>
    <w:tmpl w:val="D020D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D3BE4"/>
    <w:multiLevelType w:val="hybridMultilevel"/>
    <w:tmpl w:val="D5E2F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C23293"/>
    <w:multiLevelType w:val="hybridMultilevel"/>
    <w:tmpl w:val="BB5C4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BDD368C"/>
    <w:multiLevelType w:val="hybridMultilevel"/>
    <w:tmpl w:val="AC84FA00"/>
    <w:name w:val="DEPIListBullets2"/>
    <w:lvl w:ilvl="0" w:tplc="588C8906">
      <w:start w:val="1"/>
      <w:numFmt w:val="bullet"/>
      <w:pStyle w:val="ListAlpha3"/>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1E4028AB"/>
    <w:multiLevelType w:val="hybridMultilevel"/>
    <w:tmpl w:val="0B2A8B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961237"/>
    <w:multiLevelType w:val="hybridMultilevel"/>
    <w:tmpl w:val="D674A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multilevel"/>
    <w:tmpl w:val="6C6E1C86"/>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8661A8D"/>
    <w:multiLevelType w:val="hybridMultilevel"/>
    <w:tmpl w:val="7BBEB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0EC0015"/>
    <w:multiLevelType w:val="hybridMultilevel"/>
    <w:tmpl w:val="889C4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728EE"/>
    <w:multiLevelType w:val="hybridMultilevel"/>
    <w:tmpl w:val="F118B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F72249"/>
    <w:multiLevelType w:val="hybridMultilevel"/>
    <w:tmpl w:val="13C82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0A4174"/>
    <w:multiLevelType w:val="multilevel"/>
    <w:tmpl w:val="1336565E"/>
    <w:lvl w:ilvl="0">
      <w:start w:val="1"/>
      <w:numFmt w:val="decimal"/>
      <w:pStyle w:val="ListNumber"/>
      <w:lvlText w:val="%1."/>
      <w:lvlJc w:val="left"/>
      <w:pPr>
        <w:ind w:left="567"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D545EC4"/>
    <w:multiLevelType w:val="multilevel"/>
    <w:tmpl w:val="3856A4E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4FC74473"/>
    <w:multiLevelType w:val="hybridMultilevel"/>
    <w:tmpl w:val="5DEEF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285CF7"/>
    <w:multiLevelType w:val="hybridMultilevel"/>
    <w:tmpl w:val="7E9A5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9383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1A47D9E"/>
    <w:multiLevelType w:val="hybridMultilevel"/>
    <w:tmpl w:val="CD00F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349673306">
    <w:abstractNumId w:val="17"/>
  </w:num>
  <w:num w:numId="2" w16cid:durableId="1947614335">
    <w:abstractNumId w:val="28"/>
  </w:num>
  <w:num w:numId="3" w16cid:durableId="1948467923">
    <w:abstractNumId w:val="26"/>
  </w:num>
  <w:num w:numId="4" w16cid:durableId="2068217810">
    <w:abstractNumId w:val="31"/>
  </w:num>
  <w:num w:numId="5" w16cid:durableId="1298998063">
    <w:abstractNumId w:val="12"/>
  </w:num>
  <w:num w:numId="6" w16cid:durableId="1211840106">
    <w:abstractNumId w:val="2"/>
  </w:num>
  <w:num w:numId="7" w16cid:durableId="152842108">
    <w:abstractNumId w:val="0"/>
  </w:num>
  <w:num w:numId="8" w16cid:durableId="1213233596">
    <w:abstractNumId w:val="29"/>
  </w:num>
  <w:num w:numId="9" w16cid:durableId="932666861">
    <w:abstractNumId w:val="6"/>
  </w:num>
  <w:num w:numId="10" w16cid:durableId="645933360">
    <w:abstractNumId w:val="15"/>
  </w:num>
  <w:num w:numId="11" w16cid:durableId="1803186583">
    <w:abstractNumId w:val="10"/>
  </w:num>
  <w:num w:numId="12" w16cid:durableId="499581226">
    <w:abstractNumId w:val="18"/>
  </w:num>
  <w:num w:numId="13" w16cid:durableId="753624207">
    <w:abstractNumId w:val="21"/>
  </w:num>
  <w:num w:numId="14" w16cid:durableId="575869670">
    <w:abstractNumId w:val="20"/>
  </w:num>
  <w:num w:numId="15" w16cid:durableId="3163485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26801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99409874">
    <w:abstractNumId w:val="7"/>
  </w:num>
  <w:num w:numId="18" w16cid:durableId="1415006059">
    <w:abstractNumId w:val="11"/>
  </w:num>
  <w:num w:numId="19" w16cid:durableId="626593930">
    <w:abstractNumId w:val="19"/>
  </w:num>
  <w:num w:numId="20" w16cid:durableId="952904038">
    <w:abstractNumId w:val="8"/>
  </w:num>
  <w:num w:numId="21" w16cid:durableId="2007125372">
    <w:abstractNumId w:val="23"/>
  </w:num>
  <w:num w:numId="22" w16cid:durableId="72362003">
    <w:abstractNumId w:val="4"/>
  </w:num>
  <w:num w:numId="23" w16cid:durableId="1853646506">
    <w:abstractNumId w:val="3"/>
  </w:num>
  <w:num w:numId="24" w16cid:durableId="356123394">
    <w:abstractNumId w:val="5"/>
  </w:num>
  <w:num w:numId="25" w16cid:durableId="2034115853">
    <w:abstractNumId w:val="22"/>
  </w:num>
  <w:num w:numId="26" w16cid:durableId="548229824">
    <w:abstractNumId w:val="9"/>
  </w:num>
  <w:num w:numId="27" w16cid:durableId="15521078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5323271">
    <w:abstractNumId w:val="13"/>
  </w:num>
  <w:num w:numId="29" w16cid:durableId="438068394">
    <w:abstractNumId w:val="30"/>
  </w:num>
  <w:num w:numId="30" w16cid:durableId="162037877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Mono"/>
    <w:docVar w:name="TOC" w:val="True"/>
    <w:docVar w:name="TOCNew" w:val="False"/>
    <w:docVar w:name="Version" w:val="3"/>
  </w:docVars>
  <w:rsids>
    <w:rsidRoot w:val="002174EC"/>
    <w:rsid w:val="0000017F"/>
    <w:rsid w:val="00000279"/>
    <w:rsid w:val="000004BD"/>
    <w:rsid w:val="00000B7A"/>
    <w:rsid w:val="00000C89"/>
    <w:rsid w:val="00000FAE"/>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7FD"/>
    <w:rsid w:val="00020882"/>
    <w:rsid w:val="00020DB2"/>
    <w:rsid w:val="00020E68"/>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8A"/>
    <w:rsid w:val="00032BE8"/>
    <w:rsid w:val="00032D71"/>
    <w:rsid w:val="00033137"/>
    <w:rsid w:val="00033178"/>
    <w:rsid w:val="00033331"/>
    <w:rsid w:val="00033A8A"/>
    <w:rsid w:val="0003418D"/>
    <w:rsid w:val="0003451C"/>
    <w:rsid w:val="00034BC8"/>
    <w:rsid w:val="00034E46"/>
    <w:rsid w:val="00035139"/>
    <w:rsid w:val="00035163"/>
    <w:rsid w:val="00035168"/>
    <w:rsid w:val="000351EF"/>
    <w:rsid w:val="00035B4E"/>
    <w:rsid w:val="00035BAD"/>
    <w:rsid w:val="00035F72"/>
    <w:rsid w:val="00035FD9"/>
    <w:rsid w:val="000362D6"/>
    <w:rsid w:val="00036908"/>
    <w:rsid w:val="00036A70"/>
    <w:rsid w:val="00036E6B"/>
    <w:rsid w:val="00036FBD"/>
    <w:rsid w:val="00037072"/>
    <w:rsid w:val="00037CE2"/>
    <w:rsid w:val="00037D9D"/>
    <w:rsid w:val="00037F49"/>
    <w:rsid w:val="00037F81"/>
    <w:rsid w:val="00040BDB"/>
    <w:rsid w:val="0004176C"/>
    <w:rsid w:val="00041797"/>
    <w:rsid w:val="00041903"/>
    <w:rsid w:val="00041C5B"/>
    <w:rsid w:val="00041D37"/>
    <w:rsid w:val="00041FBF"/>
    <w:rsid w:val="00042132"/>
    <w:rsid w:val="0004213F"/>
    <w:rsid w:val="000421D0"/>
    <w:rsid w:val="0004263E"/>
    <w:rsid w:val="000430CC"/>
    <w:rsid w:val="000430E6"/>
    <w:rsid w:val="00043650"/>
    <w:rsid w:val="00043971"/>
    <w:rsid w:val="00043BC5"/>
    <w:rsid w:val="00043E65"/>
    <w:rsid w:val="000441FC"/>
    <w:rsid w:val="00044433"/>
    <w:rsid w:val="00044882"/>
    <w:rsid w:val="00044BDC"/>
    <w:rsid w:val="00045040"/>
    <w:rsid w:val="000455E1"/>
    <w:rsid w:val="00045AA1"/>
    <w:rsid w:val="0004622F"/>
    <w:rsid w:val="00046864"/>
    <w:rsid w:val="00046EE3"/>
    <w:rsid w:val="000473A1"/>
    <w:rsid w:val="0004761D"/>
    <w:rsid w:val="0004792F"/>
    <w:rsid w:val="00047C72"/>
    <w:rsid w:val="00047CE9"/>
    <w:rsid w:val="000501F1"/>
    <w:rsid w:val="00050257"/>
    <w:rsid w:val="00050487"/>
    <w:rsid w:val="000504A5"/>
    <w:rsid w:val="00050743"/>
    <w:rsid w:val="000507C3"/>
    <w:rsid w:val="00052234"/>
    <w:rsid w:val="00052630"/>
    <w:rsid w:val="00052825"/>
    <w:rsid w:val="00052C61"/>
    <w:rsid w:val="00053244"/>
    <w:rsid w:val="00053C43"/>
    <w:rsid w:val="0005421D"/>
    <w:rsid w:val="00054326"/>
    <w:rsid w:val="0005434E"/>
    <w:rsid w:val="0005472E"/>
    <w:rsid w:val="00054790"/>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1B0D"/>
    <w:rsid w:val="000620DA"/>
    <w:rsid w:val="000623DF"/>
    <w:rsid w:val="000626EE"/>
    <w:rsid w:val="00062985"/>
    <w:rsid w:val="00063623"/>
    <w:rsid w:val="00063E71"/>
    <w:rsid w:val="000640A9"/>
    <w:rsid w:val="0006422E"/>
    <w:rsid w:val="00064287"/>
    <w:rsid w:val="00064489"/>
    <w:rsid w:val="00064E2F"/>
    <w:rsid w:val="00065584"/>
    <w:rsid w:val="000655FD"/>
    <w:rsid w:val="00065A52"/>
    <w:rsid w:val="00065E7A"/>
    <w:rsid w:val="000660C5"/>
    <w:rsid w:val="00066ABF"/>
    <w:rsid w:val="00066E85"/>
    <w:rsid w:val="00066F02"/>
    <w:rsid w:val="00066FFF"/>
    <w:rsid w:val="00067098"/>
    <w:rsid w:val="0006741C"/>
    <w:rsid w:val="0006742D"/>
    <w:rsid w:val="000676F8"/>
    <w:rsid w:val="00067769"/>
    <w:rsid w:val="000704F3"/>
    <w:rsid w:val="00070C97"/>
    <w:rsid w:val="0007112E"/>
    <w:rsid w:val="00071B67"/>
    <w:rsid w:val="00071BF3"/>
    <w:rsid w:val="00071CA4"/>
    <w:rsid w:val="00071DE2"/>
    <w:rsid w:val="00072074"/>
    <w:rsid w:val="00072288"/>
    <w:rsid w:val="00072733"/>
    <w:rsid w:val="00072783"/>
    <w:rsid w:val="00072B92"/>
    <w:rsid w:val="00072E02"/>
    <w:rsid w:val="00073536"/>
    <w:rsid w:val="0007374D"/>
    <w:rsid w:val="00073956"/>
    <w:rsid w:val="00073963"/>
    <w:rsid w:val="000739CC"/>
    <w:rsid w:val="00073A9B"/>
    <w:rsid w:val="00073BBA"/>
    <w:rsid w:val="00073F07"/>
    <w:rsid w:val="00073F9C"/>
    <w:rsid w:val="000742AF"/>
    <w:rsid w:val="00074430"/>
    <w:rsid w:val="00074A1F"/>
    <w:rsid w:val="00074B81"/>
    <w:rsid w:val="00074C2B"/>
    <w:rsid w:val="000752FC"/>
    <w:rsid w:val="00075421"/>
    <w:rsid w:val="000757EA"/>
    <w:rsid w:val="000758E3"/>
    <w:rsid w:val="000767F1"/>
    <w:rsid w:val="00076B41"/>
    <w:rsid w:val="00077E60"/>
    <w:rsid w:val="0008006E"/>
    <w:rsid w:val="000802A9"/>
    <w:rsid w:val="0008061A"/>
    <w:rsid w:val="0008129B"/>
    <w:rsid w:val="000816AD"/>
    <w:rsid w:val="0008221A"/>
    <w:rsid w:val="00082224"/>
    <w:rsid w:val="0008252E"/>
    <w:rsid w:val="00082889"/>
    <w:rsid w:val="00082914"/>
    <w:rsid w:val="0008309F"/>
    <w:rsid w:val="0008337B"/>
    <w:rsid w:val="000838A2"/>
    <w:rsid w:val="00083917"/>
    <w:rsid w:val="00083CD6"/>
    <w:rsid w:val="00084187"/>
    <w:rsid w:val="00084CB1"/>
    <w:rsid w:val="00085689"/>
    <w:rsid w:val="0008568F"/>
    <w:rsid w:val="00087389"/>
    <w:rsid w:val="0008745F"/>
    <w:rsid w:val="0008771D"/>
    <w:rsid w:val="000908D6"/>
    <w:rsid w:val="000911BD"/>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597"/>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FC0"/>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0C29"/>
    <w:rsid w:val="000B11F1"/>
    <w:rsid w:val="000B167B"/>
    <w:rsid w:val="000B1B52"/>
    <w:rsid w:val="000B20BF"/>
    <w:rsid w:val="000B22C0"/>
    <w:rsid w:val="000B241A"/>
    <w:rsid w:val="000B2568"/>
    <w:rsid w:val="000B271B"/>
    <w:rsid w:val="000B2D62"/>
    <w:rsid w:val="000B2DE7"/>
    <w:rsid w:val="000B2EDE"/>
    <w:rsid w:val="000B3831"/>
    <w:rsid w:val="000B3DC1"/>
    <w:rsid w:val="000B3FB6"/>
    <w:rsid w:val="000B402E"/>
    <w:rsid w:val="000B40D6"/>
    <w:rsid w:val="000B44D9"/>
    <w:rsid w:val="000B46C3"/>
    <w:rsid w:val="000B4CFC"/>
    <w:rsid w:val="000B5144"/>
    <w:rsid w:val="000B5240"/>
    <w:rsid w:val="000B52BA"/>
    <w:rsid w:val="000B547C"/>
    <w:rsid w:val="000B5504"/>
    <w:rsid w:val="000B561E"/>
    <w:rsid w:val="000B5EA3"/>
    <w:rsid w:val="000B669C"/>
    <w:rsid w:val="000B6BF6"/>
    <w:rsid w:val="000B7CAB"/>
    <w:rsid w:val="000B7CC2"/>
    <w:rsid w:val="000C005D"/>
    <w:rsid w:val="000C015B"/>
    <w:rsid w:val="000C0411"/>
    <w:rsid w:val="000C0A3E"/>
    <w:rsid w:val="000C26FC"/>
    <w:rsid w:val="000C2786"/>
    <w:rsid w:val="000C27FF"/>
    <w:rsid w:val="000C2888"/>
    <w:rsid w:val="000C297D"/>
    <w:rsid w:val="000C2CCC"/>
    <w:rsid w:val="000C2CD8"/>
    <w:rsid w:val="000C33EB"/>
    <w:rsid w:val="000C3B79"/>
    <w:rsid w:val="000C3C38"/>
    <w:rsid w:val="000C3FE3"/>
    <w:rsid w:val="000C41E0"/>
    <w:rsid w:val="000C41F9"/>
    <w:rsid w:val="000C4231"/>
    <w:rsid w:val="000C436A"/>
    <w:rsid w:val="000C4E6D"/>
    <w:rsid w:val="000C55BE"/>
    <w:rsid w:val="000C57F2"/>
    <w:rsid w:val="000C6231"/>
    <w:rsid w:val="000C68A8"/>
    <w:rsid w:val="000C707C"/>
    <w:rsid w:val="000C7611"/>
    <w:rsid w:val="000D04DC"/>
    <w:rsid w:val="000D050A"/>
    <w:rsid w:val="000D0526"/>
    <w:rsid w:val="000D06EA"/>
    <w:rsid w:val="000D0CA4"/>
    <w:rsid w:val="000D1906"/>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2DC"/>
    <w:rsid w:val="000D6DC7"/>
    <w:rsid w:val="000D703A"/>
    <w:rsid w:val="000D7202"/>
    <w:rsid w:val="000D7482"/>
    <w:rsid w:val="000D76D9"/>
    <w:rsid w:val="000D7891"/>
    <w:rsid w:val="000D7E1F"/>
    <w:rsid w:val="000E0084"/>
    <w:rsid w:val="000E01C1"/>
    <w:rsid w:val="000E01D0"/>
    <w:rsid w:val="000E09A2"/>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B28"/>
    <w:rsid w:val="000F4CD5"/>
    <w:rsid w:val="000F5080"/>
    <w:rsid w:val="000F5216"/>
    <w:rsid w:val="000F567F"/>
    <w:rsid w:val="000F5A6B"/>
    <w:rsid w:val="000F5A78"/>
    <w:rsid w:val="000F5E34"/>
    <w:rsid w:val="000F5E5F"/>
    <w:rsid w:val="000F5E8C"/>
    <w:rsid w:val="000F6801"/>
    <w:rsid w:val="000F6803"/>
    <w:rsid w:val="000F6D60"/>
    <w:rsid w:val="000F6D6B"/>
    <w:rsid w:val="000F7657"/>
    <w:rsid w:val="000F7854"/>
    <w:rsid w:val="000F7A4B"/>
    <w:rsid w:val="000F7DCF"/>
    <w:rsid w:val="000F7F8C"/>
    <w:rsid w:val="001000DA"/>
    <w:rsid w:val="00100611"/>
    <w:rsid w:val="001006AD"/>
    <w:rsid w:val="0010072A"/>
    <w:rsid w:val="001009C3"/>
    <w:rsid w:val="00100B5E"/>
    <w:rsid w:val="00101435"/>
    <w:rsid w:val="00101451"/>
    <w:rsid w:val="00102A65"/>
    <w:rsid w:val="0010306F"/>
    <w:rsid w:val="001031FC"/>
    <w:rsid w:val="0010384A"/>
    <w:rsid w:val="001038B1"/>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0BF2"/>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4B4"/>
    <w:rsid w:val="001217C3"/>
    <w:rsid w:val="001219CD"/>
    <w:rsid w:val="00121E66"/>
    <w:rsid w:val="00122355"/>
    <w:rsid w:val="00122358"/>
    <w:rsid w:val="001226AD"/>
    <w:rsid w:val="001228CD"/>
    <w:rsid w:val="00122A3C"/>
    <w:rsid w:val="00122AE8"/>
    <w:rsid w:val="00122C72"/>
    <w:rsid w:val="00122CA5"/>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C80"/>
    <w:rsid w:val="00127D30"/>
    <w:rsid w:val="00127EBE"/>
    <w:rsid w:val="00127F2F"/>
    <w:rsid w:val="001300CB"/>
    <w:rsid w:val="00130D4B"/>
    <w:rsid w:val="00131311"/>
    <w:rsid w:val="001314EF"/>
    <w:rsid w:val="001315CE"/>
    <w:rsid w:val="0013248A"/>
    <w:rsid w:val="001325D7"/>
    <w:rsid w:val="00132744"/>
    <w:rsid w:val="00132777"/>
    <w:rsid w:val="00133770"/>
    <w:rsid w:val="0013395A"/>
    <w:rsid w:val="00133A4B"/>
    <w:rsid w:val="00133A9C"/>
    <w:rsid w:val="00133B28"/>
    <w:rsid w:val="00133E3D"/>
    <w:rsid w:val="00134223"/>
    <w:rsid w:val="0013436B"/>
    <w:rsid w:val="0013448B"/>
    <w:rsid w:val="001344D2"/>
    <w:rsid w:val="001346B4"/>
    <w:rsid w:val="00134898"/>
    <w:rsid w:val="00134E87"/>
    <w:rsid w:val="001351AB"/>
    <w:rsid w:val="00135757"/>
    <w:rsid w:val="00135A18"/>
    <w:rsid w:val="00136666"/>
    <w:rsid w:val="00136CE3"/>
    <w:rsid w:val="00136D91"/>
    <w:rsid w:val="00136EBF"/>
    <w:rsid w:val="001374EB"/>
    <w:rsid w:val="0013757A"/>
    <w:rsid w:val="001376E5"/>
    <w:rsid w:val="00137829"/>
    <w:rsid w:val="0013799D"/>
    <w:rsid w:val="00137F24"/>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13A"/>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B54"/>
    <w:rsid w:val="00146CDE"/>
    <w:rsid w:val="0014701F"/>
    <w:rsid w:val="001470F1"/>
    <w:rsid w:val="001474AE"/>
    <w:rsid w:val="001474D5"/>
    <w:rsid w:val="00147B75"/>
    <w:rsid w:val="00147B9C"/>
    <w:rsid w:val="00147EC2"/>
    <w:rsid w:val="001500E7"/>
    <w:rsid w:val="00150172"/>
    <w:rsid w:val="001501A0"/>
    <w:rsid w:val="00150BC2"/>
    <w:rsid w:val="0015164C"/>
    <w:rsid w:val="00151C40"/>
    <w:rsid w:val="00151DB1"/>
    <w:rsid w:val="001522A3"/>
    <w:rsid w:val="00152DA7"/>
    <w:rsid w:val="00152F06"/>
    <w:rsid w:val="001530C4"/>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A40"/>
    <w:rsid w:val="00157E61"/>
    <w:rsid w:val="00157E78"/>
    <w:rsid w:val="001601C2"/>
    <w:rsid w:val="00160ED7"/>
    <w:rsid w:val="0016149C"/>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36A"/>
    <w:rsid w:val="001664DC"/>
    <w:rsid w:val="00166B17"/>
    <w:rsid w:val="00166FEF"/>
    <w:rsid w:val="00167413"/>
    <w:rsid w:val="001676F4"/>
    <w:rsid w:val="00167735"/>
    <w:rsid w:val="00167865"/>
    <w:rsid w:val="00170713"/>
    <w:rsid w:val="00170F85"/>
    <w:rsid w:val="001715D8"/>
    <w:rsid w:val="00171FD1"/>
    <w:rsid w:val="00172031"/>
    <w:rsid w:val="00172DA4"/>
    <w:rsid w:val="00173F6E"/>
    <w:rsid w:val="001748A0"/>
    <w:rsid w:val="0017527E"/>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55F"/>
    <w:rsid w:val="00177AC3"/>
    <w:rsid w:val="00177B82"/>
    <w:rsid w:val="00180234"/>
    <w:rsid w:val="00180D0F"/>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563"/>
    <w:rsid w:val="0019095F"/>
    <w:rsid w:val="001911C7"/>
    <w:rsid w:val="001911F6"/>
    <w:rsid w:val="0019138F"/>
    <w:rsid w:val="00191688"/>
    <w:rsid w:val="0019194F"/>
    <w:rsid w:val="00191D9C"/>
    <w:rsid w:val="00192396"/>
    <w:rsid w:val="001924D8"/>
    <w:rsid w:val="0019266F"/>
    <w:rsid w:val="00192793"/>
    <w:rsid w:val="001929A8"/>
    <w:rsid w:val="001932CF"/>
    <w:rsid w:val="00193BEE"/>
    <w:rsid w:val="001942B8"/>
    <w:rsid w:val="00194471"/>
    <w:rsid w:val="00194C55"/>
    <w:rsid w:val="00194CF5"/>
    <w:rsid w:val="0019502C"/>
    <w:rsid w:val="001952E8"/>
    <w:rsid w:val="00195DF4"/>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01"/>
    <w:rsid w:val="001A45A0"/>
    <w:rsid w:val="001A4BB8"/>
    <w:rsid w:val="001A50A5"/>
    <w:rsid w:val="001A548E"/>
    <w:rsid w:val="001A5625"/>
    <w:rsid w:val="001A5E71"/>
    <w:rsid w:val="001A6523"/>
    <w:rsid w:val="001A670A"/>
    <w:rsid w:val="001A6CF9"/>
    <w:rsid w:val="001A7616"/>
    <w:rsid w:val="001A788D"/>
    <w:rsid w:val="001A7B61"/>
    <w:rsid w:val="001A7F0C"/>
    <w:rsid w:val="001B025E"/>
    <w:rsid w:val="001B03EB"/>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7CA"/>
    <w:rsid w:val="001B4A22"/>
    <w:rsid w:val="001B4A40"/>
    <w:rsid w:val="001B58BC"/>
    <w:rsid w:val="001B5E7A"/>
    <w:rsid w:val="001B612F"/>
    <w:rsid w:val="001B6912"/>
    <w:rsid w:val="001B758A"/>
    <w:rsid w:val="001B7723"/>
    <w:rsid w:val="001B7979"/>
    <w:rsid w:val="001B7FBD"/>
    <w:rsid w:val="001C03D1"/>
    <w:rsid w:val="001C0544"/>
    <w:rsid w:val="001C0AC9"/>
    <w:rsid w:val="001C0ECA"/>
    <w:rsid w:val="001C1735"/>
    <w:rsid w:val="001C1769"/>
    <w:rsid w:val="001C1C28"/>
    <w:rsid w:val="001C2125"/>
    <w:rsid w:val="001C21A0"/>
    <w:rsid w:val="001C2301"/>
    <w:rsid w:val="001C24BB"/>
    <w:rsid w:val="001C2A75"/>
    <w:rsid w:val="001C2AAB"/>
    <w:rsid w:val="001C3321"/>
    <w:rsid w:val="001C3683"/>
    <w:rsid w:val="001C37E7"/>
    <w:rsid w:val="001C38F7"/>
    <w:rsid w:val="001C4284"/>
    <w:rsid w:val="001C4299"/>
    <w:rsid w:val="001C43F5"/>
    <w:rsid w:val="001C44D3"/>
    <w:rsid w:val="001C5239"/>
    <w:rsid w:val="001C5501"/>
    <w:rsid w:val="001C582A"/>
    <w:rsid w:val="001C58FF"/>
    <w:rsid w:val="001C591F"/>
    <w:rsid w:val="001C63D2"/>
    <w:rsid w:val="001C6526"/>
    <w:rsid w:val="001C6A87"/>
    <w:rsid w:val="001C6E3A"/>
    <w:rsid w:val="001C7078"/>
    <w:rsid w:val="001C709B"/>
    <w:rsid w:val="001C71B1"/>
    <w:rsid w:val="001C7813"/>
    <w:rsid w:val="001D0330"/>
    <w:rsid w:val="001D1792"/>
    <w:rsid w:val="001D2509"/>
    <w:rsid w:val="001D25DB"/>
    <w:rsid w:val="001D2DA8"/>
    <w:rsid w:val="001D3116"/>
    <w:rsid w:val="001D347F"/>
    <w:rsid w:val="001D3B9E"/>
    <w:rsid w:val="001D3E83"/>
    <w:rsid w:val="001D3F6F"/>
    <w:rsid w:val="001D4A29"/>
    <w:rsid w:val="001D4BA5"/>
    <w:rsid w:val="001D4F9A"/>
    <w:rsid w:val="001D5114"/>
    <w:rsid w:val="001D55F2"/>
    <w:rsid w:val="001D5C0F"/>
    <w:rsid w:val="001D5F7D"/>
    <w:rsid w:val="001D6553"/>
    <w:rsid w:val="001D65FF"/>
    <w:rsid w:val="001D686B"/>
    <w:rsid w:val="001D68CD"/>
    <w:rsid w:val="001D69FE"/>
    <w:rsid w:val="001D6D1D"/>
    <w:rsid w:val="001D6D82"/>
    <w:rsid w:val="001D6ECC"/>
    <w:rsid w:val="001D6F72"/>
    <w:rsid w:val="001D70F5"/>
    <w:rsid w:val="001D729D"/>
    <w:rsid w:val="001D74DB"/>
    <w:rsid w:val="001D7ACE"/>
    <w:rsid w:val="001D7C1E"/>
    <w:rsid w:val="001E00AD"/>
    <w:rsid w:val="001E0190"/>
    <w:rsid w:val="001E0734"/>
    <w:rsid w:val="001E0ACF"/>
    <w:rsid w:val="001E0ADE"/>
    <w:rsid w:val="001E1098"/>
    <w:rsid w:val="001E1CE3"/>
    <w:rsid w:val="001E1E96"/>
    <w:rsid w:val="001E24D4"/>
    <w:rsid w:val="001E25C4"/>
    <w:rsid w:val="001E2CED"/>
    <w:rsid w:val="001E2E6F"/>
    <w:rsid w:val="001E341B"/>
    <w:rsid w:val="001E3511"/>
    <w:rsid w:val="001E3642"/>
    <w:rsid w:val="001E3BC5"/>
    <w:rsid w:val="001E3DBD"/>
    <w:rsid w:val="001E4751"/>
    <w:rsid w:val="001E4938"/>
    <w:rsid w:val="001E4CD8"/>
    <w:rsid w:val="001E4FB6"/>
    <w:rsid w:val="001E513B"/>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A99"/>
    <w:rsid w:val="001F2BD3"/>
    <w:rsid w:val="001F2EA1"/>
    <w:rsid w:val="001F337E"/>
    <w:rsid w:val="001F353A"/>
    <w:rsid w:val="001F3603"/>
    <w:rsid w:val="001F386B"/>
    <w:rsid w:val="001F3CA9"/>
    <w:rsid w:val="001F3D89"/>
    <w:rsid w:val="001F4052"/>
    <w:rsid w:val="001F4435"/>
    <w:rsid w:val="001F4FA9"/>
    <w:rsid w:val="001F548A"/>
    <w:rsid w:val="001F552F"/>
    <w:rsid w:val="001F556E"/>
    <w:rsid w:val="001F579C"/>
    <w:rsid w:val="001F58E7"/>
    <w:rsid w:val="001F5C40"/>
    <w:rsid w:val="001F5D92"/>
    <w:rsid w:val="001F5EF1"/>
    <w:rsid w:val="001F5F13"/>
    <w:rsid w:val="001F668A"/>
    <w:rsid w:val="001F6AB6"/>
    <w:rsid w:val="001F6D64"/>
    <w:rsid w:val="001F765B"/>
    <w:rsid w:val="001F770A"/>
    <w:rsid w:val="00200A9D"/>
    <w:rsid w:val="00200B2E"/>
    <w:rsid w:val="00201162"/>
    <w:rsid w:val="00201324"/>
    <w:rsid w:val="00201841"/>
    <w:rsid w:val="0020194C"/>
    <w:rsid w:val="00201A7E"/>
    <w:rsid w:val="00202037"/>
    <w:rsid w:val="0020205B"/>
    <w:rsid w:val="002023B0"/>
    <w:rsid w:val="0020278D"/>
    <w:rsid w:val="00202C45"/>
    <w:rsid w:val="00202E4A"/>
    <w:rsid w:val="00202FE2"/>
    <w:rsid w:val="00203011"/>
    <w:rsid w:val="002031FC"/>
    <w:rsid w:val="0020332E"/>
    <w:rsid w:val="00203733"/>
    <w:rsid w:val="0020390A"/>
    <w:rsid w:val="00203A4C"/>
    <w:rsid w:val="002041DB"/>
    <w:rsid w:val="0020460C"/>
    <w:rsid w:val="00204A74"/>
    <w:rsid w:val="00205553"/>
    <w:rsid w:val="0020587F"/>
    <w:rsid w:val="002059C8"/>
    <w:rsid w:val="00206005"/>
    <w:rsid w:val="002061DA"/>
    <w:rsid w:val="00206928"/>
    <w:rsid w:val="00206C16"/>
    <w:rsid w:val="00206E82"/>
    <w:rsid w:val="0020726F"/>
    <w:rsid w:val="002073CA"/>
    <w:rsid w:val="00207420"/>
    <w:rsid w:val="002076FD"/>
    <w:rsid w:val="0020775A"/>
    <w:rsid w:val="0020777E"/>
    <w:rsid w:val="0020778C"/>
    <w:rsid w:val="00207D4E"/>
    <w:rsid w:val="00207D67"/>
    <w:rsid w:val="00207ED2"/>
    <w:rsid w:val="0021024B"/>
    <w:rsid w:val="00210464"/>
    <w:rsid w:val="002104A5"/>
    <w:rsid w:val="002104FF"/>
    <w:rsid w:val="002109B9"/>
    <w:rsid w:val="00210D74"/>
    <w:rsid w:val="00211046"/>
    <w:rsid w:val="002112B2"/>
    <w:rsid w:val="00211AE6"/>
    <w:rsid w:val="00211FE8"/>
    <w:rsid w:val="00212CB6"/>
    <w:rsid w:val="00212DA6"/>
    <w:rsid w:val="00213289"/>
    <w:rsid w:val="0021343A"/>
    <w:rsid w:val="002139D9"/>
    <w:rsid w:val="00213B45"/>
    <w:rsid w:val="002147CA"/>
    <w:rsid w:val="00214D12"/>
    <w:rsid w:val="002150E0"/>
    <w:rsid w:val="002154DF"/>
    <w:rsid w:val="002158A2"/>
    <w:rsid w:val="002159A3"/>
    <w:rsid w:val="00215AEB"/>
    <w:rsid w:val="00215CE4"/>
    <w:rsid w:val="00215E20"/>
    <w:rsid w:val="0021610D"/>
    <w:rsid w:val="00216492"/>
    <w:rsid w:val="002165C1"/>
    <w:rsid w:val="00216A8E"/>
    <w:rsid w:val="002174EC"/>
    <w:rsid w:val="00217538"/>
    <w:rsid w:val="00217563"/>
    <w:rsid w:val="00217998"/>
    <w:rsid w:val="00217DA5"/>
    <w:rsid w:val="00217EC2"/>
    <w:rsid w:val="00220268"/>
    <w:rsid w:val="002204E8"/>
    <w:rsid w:val="00220B8F"/>
    <w:rsid w:val="00220E04"/>
    <w:rsid w:val="00220ED6"/>
    <w:rsid w:val="00221747"/>
    <w:rsid w:val="0022199C"/>
    <w:rsid w:val="00221FB0"/>
    <w:rsid w:val="0022236B"/>
    <w:rsid w:val="00222411"/>
    <w:rsid w:val="0022253A"/>
    <w:rsid w:val="00222ACC"/>
    <w:rsid w:val="00222D23"/>
    <w:rsid w:val="00223B9B"/>
    <w:rsid w:val="00223C32"/>
    <w:rsid w:val="00223E41"/>
    <w:rsid w:val="00223EC7"/>
    <w:rsid w:val="002240AD"/>
    <w:rsid w:val="002241F7"/>
    <w:rsid w:val="00224234"/>
    <w:rsid w:val="002242F0"/>
    <w:rsid w:val="0022452B"/>
    <w:rsid w:val="00224561"/>
    <w:rsid w:val="00224EDC"/>
    <w:rsid w:val="00224F1D"/>
    <w:rsid w:val="00225CB2"/>
    <w:rsid w:val="00226152"/>
    <w:rsid w:val="002262A7"/>
    <w:rsid w:val="00226ADB"/>
    <w:rsid w:val="0022721E"/>
    <w:rsid w:val="00227B32"/>
    <w:rsid w:val="0023007D"/>
    <w:rsid w:val="0023019A"/>
    <w:rsid w:val="002302F5"/>
    <w:rsid w:val="00230478"/>
    <w:rsid w:val="0023084B"/>
    <w:rsid w:val="00231311"/>
    <w:rsid w:val="0023151E"/>
    <w:rsid w:val="00231979"/>
    <w:rsid w:val="0023219B"/>
    <w:rsid w:val="002322F1"/>
    <w:rsid w:val="0023230E"/>
    <w:rsid w:val="0023282F"/>
    <w:rsid w:val="00232E2E"/>
    <w:rsid w:val="00232E42"/>
    <w:rsid w:val="002337B5"/>
    <w:rsid w:val="00233827"/>
    <w:rsid w:val="00233CFA"/>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AE"/>
    <w:rsid w:val="00237BD5"/>
    <w:rsid w:val="00237D72"/>
    <w:rsid w:val="00237EDD"/>
    <w:rsid w:val="00237F7B"/>
    <w:rsid w:val="00240237"/>
    <w:rsid w:val="002408BA"/>
    <w:rsid w:val="00240AE1"/>
    <w:rsid w:val="00240ED3"/>
    <w:rsid w:val="00241186"/>
    <w:rsid w:val="002412A2"/>
    <w:rsid w:val="00241740"/>
    <w:rsid w:val="00241810"/>
    <w:rsid w:val="00242AB5"/>
    <w:rsid w:val="00242CFC"/>
    <w:rsid w:val="00242E04"/>
    <w:rsid w:val="002430F9"/>
    <w:rsid w:val="002432E0"/>
    <w:rsid w:val="002433B4"/>
    <w:rsid w:val="00243622"/>
    <w:rsid w:val="002436B2"/>
    <w:rsid w:val="00243D2B"/>
    <w:rsid w:val="00243E8D"/>
    <w:rsid w:val="00244224"/>
    <w:rsid w:val="00244B6B"/>
    <w:rsid w:val="002454C8"/>
    <w:rsid w:val="00245780"/>
    <w:rsid w:val="00245790"/>
    <w:rsid w:val="00245971"/>
    <w:rsid w:val="00245CE9"/>
    <w:rsid w:val="00245E00"/>
    <w:rsid w:val="00246012"/>
    <w:rsid w:val="00247842"/>
    <w:rsid w:val="00247B52"/>
    <w:rsid w:val="00247E49"/>
    <w:rsid w:val="00247EB2"/>
    <w:rsid w:val="00250568"/>
    <w:rsid w:val="002507C7"/>
    <w:rsid w:val="002511AF"/>
    <w:rsid w:val="002518DC"/>
    <w:rsid w:val="00251AF9"/>
    <w:rsid w:val="00251BF4"/>
    <w:rsid w:val="00252146"/>
    <w:rsid w:val="002525B9"/>
    <w:rsid w:val="00252B3D"/>
    <w:rsid w:val="00252BA5"/>
    <w:rsid w:val="00253077"/>
    <w:rsid w:val="00253368"/>
    <w:rsid w:val="0025341C"/>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96E"/>
    <w:rsid w:val="00256EB7"/>
    <w:rsid w:val="0025775A"/>
    <w:rsid w:val="002578D4"/>
    <w:rsid w:val="002579C1"/>
    <w:rsid w:val="002579F0"/>
    <w:rsid w:val="002604DA"/>
    <w:rsid w:val="00260781"/>
    <w:rsid w:val="00260992"/>
    <w:rsid w:val="00260A07"/>
    <w:rsid w:val="00260A76"/>
    <w:rsid w:val="00260FC1"/>
    <w:rsid w:val="002611D2"/>
    <w:rsid w:val="00261458"/>
    <w:rsid w:val="002614DA"/>
    <w:rsid w:val="002615AB"/>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5D5B"/>
    <w:rsid w:val="002662BA"/>
    <w:rsid w:val="002663DB"/>
    <w:rsid w:val="00266EB3"/>
    <w:rsid w:val="00267693"/>
    <w:rsid w:val="0026785F"/>
    <w:rsid w:val="00267CB6"/>
    <w:rsid w:val="00267EF8"/>
    <w:rsid w:val="00270AC9"/>
    <w:rsid w:val="00270DA6"/>
    <w:rsid w:val="00271AFF"/>
    <w:rsid w:val="00271B90"/>
    <w:rsid w:val="00271BC9"/>
    <w:rsid w:val="00272039"/>
    <w:rsid w:val="00272184"/>
    <w:rsid w:val="002721F3"/>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7FF"/>
    <w:rsid w:val="002779C6"/>
    <w:rsid w:val="00277B3D"/>
    <w:rsid w:val="00277BAB"/>
    <w:rsid w:val="0028044C"/>
    <w:rsid w:val="0028048B"/>
    <w:rsid w:val="0028091B"/>
    <w:rsid w:val="00280EEC"/>
    <w:rsid w:val="0028111A"/>
    <w:rsid w:val="002815BC"/>
    <w:rsid w:val="002815F0"/>
    <w:rsid w:val="0028165D"/>
    <w:rsid w:val="002817EC"/>
    <w:rsid w:val="00281A09"/>
    <w:rsid w:val="00281F5E"/>
    <w:rsid w:val="002834A1"/>
    <w:rsid w:val="00283592"/>
    <w:rsid w:val="0028363C"/>
    <w:rsid w:val="00283E4F"/>
    <w:rsid w:val="00283FA3"/>
    <w:rsid w:val="002845AC"/>
    <w:rsid w:val="00284B07"/>
    <w:rsid w:val="00285A5B"/>
    <w:rsid w:val="00285C44"/>
    <w:rsid w:val="00285E6C"/>
    <w:rsid w:val="00285F04"/>
    <w:rsid w:val="00286689"/>
    <w:rsid w:val="002868CD"/>
    <w:rsid w:val="00286C19"/>
    <w:rsid w:val="00287075"/>
    <w:rsid w:val="00287146"/>
    <w:rsid w:val="00287609"/>
    <w:rsid w:val="002878A6"/>
    <w:rsid w:val="002879FF"/>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877"/>
    <w:rsid w:val="00293EDC"/>
    <w:rsid w:val="002940DF"/>
    <w:rsid w:val="002942A8"/>
    <w:rsid w:val="0029457A"/>
    <w:rsid w:val="00294BC0"/>
    <w:rsid w:val="00294C41"/>
    <w:rsid w:val="0029505A"/>
    <w:rsid w:val="002954FB"/>
    <w:rsid w:val="002958B8"/>
    <w:rsid w:val="00295B34"/>
    <w:rsid w:val="00295F12"/>
    <w:rsid w:val="002963F3"/>
    <w:rsid w:val="00296579"/>
    <w:rsid w:val="00296613"/>
    <w:rsid w:val="002972FC"/>
    <w:rsid w:val="00297462"/>
    <w:rsid w:val="00297CA9"/>
    <w:rsid w:val="00297EC6"/>
    <w:rsid w:val="002A0AED"/>
    <w:rsid w:val="002A1017"/>
    <w:rsid w:val="002A10BB"/>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84D"/>
    <w:rsid w:val="002B1C2D"/>
    <w:rsid w:val="002B1DB7"/>
    <w:rsid w:val="002B1DE7"/>
    <w:rsid w:val="002B1F25"/>
    <w:rsid w:val="002B2336"/>
    <w:rsid w:val="002B234F"/>
    <w:rsid w:val="002B2552"/>
    <w:rsid w:val="002B2563"/>
    <w:rsid w:val="002B25C0"/>
    <w:rsid w:val="002B2FCD"/>
    <w:rsid w:val="002B2FF1"/>
    <w:rsid w:val="002B32A8"/>
    <w:rsid w:val="002B3396"/>
    <w:rsid w:val="002B3565"/>
    <w:rsid w:val="002B35C2"/>
    <w:rsid w:val="002B407B"/>
    <w:rsid w:val="002B407C"/>
    <w:rsid w:val="002B4366"/>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4A6"/>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B4F"/>
    <w:rsid w:val="002C5BB4"/>
    <w:rsid w:val="002C5DB1"/>
    <w:rsid w:val="002C5F6C"/>
    <w:rsid w:val="002C6693"/>
    <w:rsid w:val="002C729B"/>
    <w:rsid w:val="002C73EA"/>
    <w:rsid w:val="002C774D"/>
    <w:rsid w:val="002C7FEF"/>
    <w:rsid w:val="002D04B2"/>
    <w:rsid w:val="002D06AC"/>
    <w:rsid w:val="002D0A8B"/>
    <w:rsid w:val="002D1026"/>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B17"/>
    <w:rsid w:val="002E0CE5"/>
    <w:rsid w:val="002E18B5"/>
    <w:rsid w:val="002E18FF"/>
    <w:rsid w:val="002E2335"/>
    <w:rsid w:val="002E23C3"/>
    <w:rsid w:val="002E2FCE"/>
    <w:rsid w:val="002E32D3"/>
    <w:rsid w:val="002E3600"/>
    <w:rsid w:val="002E37F7"/>
    <w:rsid w:val="002E3891"/>
    <w:rsid w:val="002E3909"/>
    <w:rsid w:val="002E3E90"/>
    <w:rsid w:val="002E3F9E"/>
    <w:rsid w:val="002E416F"/>
    <w:rsid w:val="002E429F"/>
    <w:rsid w:val="002E442A"/>
    <w:rsid w:val="002E479B"/>
    <w:rsid w:val="002E4943"/>
    <w:rsid w:val="002E49CB"/>
    <w:rsid w:val="002E4E56"/>
    <w:rsid w:val="002E5249"/>
    <w:rsid w:val="002E52CC"/>
    <w:rsid w:val="002E5485"/>
    <w:rsid w:val="002E5808"/>
    <w:rsid w:val="002E584F"/>
    <w:rsid w:val="002E58C5"/>
    <w:rsid w:val="002E5B9E"/>
    <w:rsid w:val="002E635E"/>
    <w:rsid w:val="002E6937"/>
    <w:rsid w:val="002E6B7A"/>
    <w:rsid w:val="002E6DC0"/>
    <w:rsid w:val="002E7001"/>
    <w:rsid w:val="002E7991"/>
    <w:rsid w:val="002E7A32"/>
    <w:rsid w:val="002E7EE9"/>
    <w:rsid w:val="002F0A6E"/>
    <w:rsid w:val="002F0BF5"/>
    <w:rsid w:val="002F16FF"/>
    <w:rsid w:val="002F1ECC"/>
    <w:rsid w:val="002F25E9"/>
    <w:rsid w:val="002F29FF"/>
    <w:rsid w:val="002F3E23"/>
    <w:rsid w:val="002F4165"/>
    <w:rsid w:val="002F44C2"/>
    <w:rsid w:val="002F4916"/>
    <w:rsid w:val="002F4B98"/>
    <w:rsid w:val="002F4CE0"/>
    <w:rsid w:val="002F4FB6"/>
    <w:rsid w:val="002F507F"/>
    <w:rsid w:val="002F5200"/>
    <w:rsid w:val="002F57C5"/>
    <w:rsid w:val="002F57C9"/>
    <w:rsid w:val="002F5B60"/>
    <w:rsid w:val="002F5CA3"/>
    <w:rsid w:val="002F5D17"/>
    <w:rsid w:val="002F5DE3"/>
    <w:rsid w:val="002F65D1"/>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637"/>
    <w:rsid w:val="003017BE"/>
    <w:rsid w:val="00301B40"/>
    <w:rsid w:val="00301C03"/>
    <w:rsid w:val="00301EAE"/>
    <w:rsid w:val="0030248A"/>
    <w:rsid w:val="00302572"/>
    <w:rsid w:val="003027A8"/>
    <w:rsid w:val="0030287C"/>
    <w:rsid w:val="00302A79"/>
    <w:rsid w:val="00302C18"/>
    <w:rsid w:val="00302C1B"/>
    <w:rsid w:val="00303661"/>
    <w:rsid w:val="00303961"/>
    <w:rsid w:val="00303BD5"/>
    <w:rsid w:val="00303CCE"/>
    <w:rsid w:val="00303E3A"/>
    <w:rsid w:val="00303E4B"/>
    <w:rsid w:val="00304121"/>
    <w:rsid w:val="003043D2"/>
    <w:rsid w:val="003044A7"/>
    <w:rsid w:val="00305AF5"/>
    <w:rsid w:val="00306030"/>
    <w:rsid w:val="00306780"/>
    <w:rsid w:val="00306796"/>
    <w:rsid w:val="00306B0C"/>
    <w:rsid w:val="00307282"/>
    <w:rsid w:val="0030733C"/>
    <w:rsid w:val="00307581"/>
    <w:rsid w:val="003078C0"/>
    <w:rsid w:val="00307DE3"/>
    <w:rsid w:val="00307DED"/>
    <w:rsid w:val="00307EE7"/>
    <w:rsid w:val="00310A6E"/>
    <w:rsid w:val="00310BB6"/>
    <w:rsid w:val="00310F51"/>
    <w:rsid w:val="003114B3"/>
    <w:rsid w:val="00311AEC"/>
    <w:rsid w:val="00311F5B"/>
    <w:rsid w:val="00311F6F"/>
    <w:rsid w:val="00312073"/>
    <w:rsid w:val="00312320"/>
    <w:rsid w:val="00312916"/>
    <w:rsid w:val="00312A2E"/>
    <w:rsid w:val="00313317"/>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A77"/>
    <w:rsid w:val="00315CFC"/>
    <w:rsid w:val="00315F65"/>
    <w:rsid w:val="00316EE5"/>
    <w:rsid w:val="003170D7"/>
    <w:rsid w:val="003177C7"/>
    <w:rsid w:val="00317B03"/>
    <w:rsid w:val="00317B60"/>
    <w:rsid w:val="00317C00"/>
    <w:rsid w:val="00320D1D"/>
    <w:rsid w:val="00320E0A"/>
    <w:rsid w:val="00320E71"/>
    <w:rsid w:val="00321131"/>
    <w:rsid w:val="00321137"/>
    <w:rsid w:val="003217EF"/>
    <w:rsid w:val="00321955"/>
    <w:rsid w:val="003220DC"/>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5CB6"/>
    <w:rsid w:val="003260D0"/>
    <w:rsid w:val="0032673B"/>
    <w:rsid w:val="00327052"/>
    <w:rsid w:val="00327485"/>
    <w:rsid w:val="003274B6"/>
    <w:rsid w:val="003278D9"/>
    <w:rsid w:val="00327FD3"/>
    <w:rsid w:val="0033013A"/>
    <w:rsid w:val="00330302"/>
    <w:rsid w:val="00330504"/>
    <w:rsid w:val="0033095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75"/>
    <w:rsid w:val="00334A67"/>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0E4"/>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183"/>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99B"/>
    <w:rsid w:val="00354D9A"/>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0C"/>
    <w:rsid w:val="00362D3F"/>
    <w:rsid w:val="00362E3A"/>
    <w:rsid w:val="003630B0"/>
    <w:rsid w:val="00363120"/>
    <w:rsid w:val="003634A8"/>
    <w:rsid w:val="00363532"/>
    <w:rsid w:val="003636EA"/>
    <w:rsid w:val="00363763"/>
    <w:rsid w:val="00363BBC"/>
    <w:rsid w:val="00364154"/>
    <w:rsid w:val="00364409"/>
    <w:rsid w:val="003649FB"/>
    <w:rsid w:val="00364CA5"/>
    <w:rsid w:val="00366470"/>
    <w:rsid w:val="003664CB"/>
    <w:rsid w:val="003669E5"/>
    <w:rsid w:val="00367673"/>
    <w:rsid w:val="00367DB7"/>
    <w:rsid w:val="00370617"/>
    <w:rsid w:val="00370901"/>
    <w:rsid w:val="003709D8"/>
    <w:rsid w:val="00370D02"/>
    <w:rsid w:val="003718C3"/>
    <w:rsid w:val="00371C1B"/>
    <w:rsid w:val="00371D63"/>
    <w:rsid w:val="0037205E"/>
    <w:rsid w:val="00372737"/>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F1F"/>
    <w:rsid w:val="00382150"/>
    <w:rsid w:val="00382225"/>
    <w:rsid w:val="003823DC"/>
    <w:rsid w:val="00382667"/>
    <w:rsid w:val="0038300B"/>
    <w:rsid w:val="003832A8"/>
    <w:rsid w:val="003833EC"/>
    <w:rsid w:val="00383499"/>
    <w:rsid w:val="00383D60"/>
    <w:rsid w:val="00383FA3"/>
    <w:rsid w:val="0038434D"/>
    <w:rsid w:val="003845A7"/>
    <w:rsid w:val="003846E5"/>
    <w:rsid w:val="003857BF"/>
    <w:rsid w:val="00385DC0"/>
    <w:rsid w:val="00386030"/>
    <w:rsid w:val="003866A9"/>
    <w:rsid w:val="003868F9"/>
    <w:rsid w:val="00386924"/>
    <w:rsid w:val="00386C52"/>
    <w:rsid w:val="00386CB8"/>
    <w:rsid w:val="00386DE5"/>
    <w:rsid w:val="003870F1"/>
    <w:rsid w:val="0038716F"/>
    <w:rsid w:val="00387788"/>
    <w:rsid w:val="003878A2"/>
    <w:rsid w:val="00387B23"/>
    <w:rsid w:val="00387F59"/>
    <w:rsid w:val="003901B7"/>
    <w:rsid w:val="003905C4"/>
    <w:rsid w:val="00390F45"/>
    <w:rsid w:val="00391137"/>
    <w:rsid w:val="0039179C"/>
    <w:rsid w:val="0039197B"/>
    <w:rsid w:val="00391E78"/>
    <w:rsid w:val="00391F27"/>
    <w:rsid w:val="003920B2"/>
    <w:rsid w:val="00392E40"/>
    <w:rsid w:val="0039303B"/>
    <w:rsid w:val="0039318E"/>
    <w:rsid w:val="00393205"/>
    <w:rsid w:val="003936CD"/>
    <w:rsid w:val="003938BA"/>
    <w:rsid w:val="0039396D"/>
    <w:rsid w:val="00393EA9"/>
    <w:rsid w:val="00394109"/>
    <w:rsid w:val="003947B8"/>
    <w:rsid w:val="00394DEB"/>
    <w:rsid w:val="00395181"/>
    <w:rsid w:val="00395CFA"/>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D11"/>
    <w:rsid w:val="003A0F29"/>
    <w:rsid w:val="003A13C5"/>
    <w:rsid w:val="003A1988"/>
    <w:rsid w:val="003A19D0"/>
    <w:rsid w:val="003A1ED3"/>
    <w:rsid w:val="003A1F80"/>
    <w:rsid w:val="003A2A8A"/>
    <w:rsid w:val="003A2A8F"/>
    <w:rsid w:val="003A2B1C"/>
    <w:rsid w:val="003A2BEA"/>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A7FB9"/>
    <w:rsid w:val="003B0339"/>
    <w:rsid w:val="003B0406"/>
    <w:rsid w:val="003B061E"/>
    <w:rsid w:val="003B06BF"/>
    <w:rsid w:val="003B0724"/>
    <w:rsid w:val="003B0D7A"/>
    <w:rsid w:val="003B118B"/>
    <w:rsid w:val="003B12B7"/>
    <w:rsid w:val="003B148C"/>
    <w:rsid w:val="003B1774"/>
    <w:rsid w:val="003B2E3A"/>
    <w:rsid w:val="003B2E9B"/>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44"/>
    <w:rsid w:val="003B5FA4"/>
    <w:rsid w:val="003B5FBE"/>
    <w:rsid w:val="003B61E9"/>
    <w:rsid w:val="003B6345"/>
    <w:rsid w:val="003B6539"/>
    <w:rsid w:val="003B6F54"/>
    <w:rsid w:val="003B712E"/>
    <w:rsid w:val="003B735C"/>
    <w:rsid w:val="003B7430"/>
    <w:rsid w:val="003B7EC7"/>
    <w:rsid w:val="003C00AE"/>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CD"/>
    <w:rsid w:val="003C3EDA"/>
    <w:rsid w:val="003C3F27"/>
    <w:rsid w:val="003C4209"/>
    <w:rsid w:val="003C474B"/>
    <w:rsid w:val="003C5099"/>
    <w:rsid w:val="003C50AA"/>
    <w:rsid w:val="003C510E"/>
    <w:rsid w:val="003C5654"/>
    <w:rsid w:val="003C5AF6"/>
    <w:rsid w:val="003C5C56"/>
    <w:rsid w:val="003C62D6"/>
    <w:rsid w:val="003C673F"/>
    <w:rsid w:val="003C6B7E"/>
    <w:rsid w:val="003C70FF"/>
    <w:rsid w:val="003C71FE"/>
    <w:rsid w:val="003C7623"/>
    <w:rsid w:val="003C78DE"/>
    <w:rsid w:val="003C7B87"/>
    <w:rsid w:val="003D0360"/>
    <w:rsid w:val="003D0CA7"/>
    <w:rsid w:val="003D1288"/>
    <w:rsid w:val="003D12AE"/>
    <w:rsid w:val="003D142B"/>
    <w:rsid w:val="003D1E04"/>
    <w:rsid w:val="003D25C4"/>
    <w:rsid w:val="003D2C4D"/>
    <w:rsid w:val="003D2C78"/>
    <w:rsid w:val="003D3447"/>
    <w:rsid w:val="003D3468"/>
    <w:rsid w:val="003D351B"/>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1AB"/>
    <w:rsid w:val="003E0B36"/>
    <w:rsid w:val="003E0C9D"/>
    <w:rsid w:val="003E0E29"/>
    <w:rsid w:val="003E106A"/>
    <w:rsid w:val="003E13A8"/>
    <w:rsid w:val="003E1E9A"/>
    <w:rsid w:val="003E22D4"/>
    <w:rsid w:val="003E24BD"/>
    <w:rsid w:val="003E2990"/>
    <w:rsid w:val="003E2C4B"/>
    <w:rsid w:val="003E313F"/>
    <w:rsid w:val="003E3548"/>
    <w:rsid w:val="003E3643"/>
    <w:rsid w:val="003E39F6"/>
    <w:rsid w:val="003E3DC3"/>
    <w:rsid w:val="003E3E59"/>
    <w:rsid w:val="003E3F59"/>
    <w:rsid w:val="003E4121"/>
    <w:rsid w:val="003E4332"/>
    <w:rsid w:val="003E461D"/>
    <w:rsid w:val="003E514F"/>
    <w:rsid w:val="003E5442"/>
    <w:rsid w:val="003E56ED"/>
    <w:rsid w:val="003E5AAB"/>
    <w:rsid w:val="003E5BA6"/>
    <w:rsid w:val="003E5C56"/>
    <w:rsid w:val="003E6066"/>
    <w:rsid w:val="003E60CA"/>
    <w:rsid w:val="003E6458"/>
    <w:rsid w:val="003E690B"/>
    <w:rsid w:val="003E6917"/>
    <w:rsid w:val="003E6A4C"/>
    <w:rsid w:val="003E6CA0"/>
    <w:rsid w:val="003E724B"/>
    <w:rsid w:val="003E7618"/>
    <w:rsid w:val="003E7784"/>
    <w:rsid w:val="003E7CEB"/>
    <w:rsid w:val="003E7F3D"/>
    <w:rsid w:val="003F0989"/>
    <w:rsid w:val="003F0C86"/>
    <w:rsid w:val="003F0D04"/>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352"/>
    <w:rsid w:val="00400760"/>
    <w:rsid w:val="004008E7"/>
    <w:rsid w:val="00400A90"/>
    <w:rsid w:val="0040102D"/>
    <w:rsid w:val="004010B3"/>
    <w:rsid w:val="00401465"/>
    <w:rsid w:val="00401E9C"/>
    <w:rsid w:val="00402048"/>
    <w:rsid w:val="00402188"/>
    <w:rsid w:val="0040281F"/>
    <w:rsid w:val="00402AAA"/>
    <w:rsid w:val="00402F90"/>
    <w:rsid w:val="00403185"/>
    <w:rsid w:val="004038DF"/>
    <w:rsid w:val="004048B1"/>
    <w:rsid w:val="00404EAD"/>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6E85"/>
    <w:rsid w:val="004070DD"/>
    <w:rsid w:val="004072DB"/>
    <w:rsid w:val="0040753A"/>
    <w:rsid w:val="0040757B"/>
    <w:rsid w:val="004077EE"/>
    <w:rsid w:val="00407A8B"/>
    <w:rsid w:val="00407C9B"/>
    <w:rsid w:val="0041001A"/>
    <w:rsid w:val="00410504"/>
    <w:rsid w:val="00410A0F"/>
    <w:rsid w:val="00410BB0"/>
    <w:rsid w:val="00410E71"/>
    <w:rsid w:val="004110EA"/>
    <w:rsid w:val="004113E2"/>
    <w:rsid w:val="0041146D"/>
    <w:rsid w:val="0041166A"/>
    <w:rsid w:val="00411E01"/>
    <w:rsid w:val="00411E17"/>
    <w:rsid w:val="00411F52"/>
    <w:rsid w:val="00412083"/>
    <w:rsid w:val="00412245"/>
    <w:rsid w:val="004122D4"/>
    <w:rsid w:val="0041287F"/>
    <w:rsid w:val="00412D6D"/>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92D"/>
    <w:rsid w:val="00416A93"/>
    <w:rsid w:val="00416BD8"/>
    <w:rsid w:val="004179D0"/>
    <w:rsid w:val="00417A6D"/>
    <w:rsid w:val="004200B0"/>
    <w:rsid w:val="0042017F"/>
    <w:rsid w:val="00420664"/>
    <w:rsid w:val="00420A87"/>
    <w:rsid w:val="00420B15"/>
    <w:rsid w:val="00420C24"/>
    <w:rsid w:val="00420DCE"/>
    <w:rsid w:val="00420E5E"/>
    <w:rsid w:val="004212F0"/>
    <w:rsid w:val="00421534"/>
    <w:rsid w:val="00421799"/>
    <w:rsid w:val="004217CA"/>
    <w:rsid w:val="0042191F"/>
    <w:rsid w:val="00421F78"/>
    <w:rsid w:val="00422267"/>
    <w:rsid w:val="0042227F"/>
    <w:rsid w:val="00422E51"/>
    <w:rsid w:val="00422FA1"/>
    <w:rsid w:val="0042317C"/>
    <w:rsid w:val="00423925"/>
    <w:rsid w:val="00423F52"/>
    <w:rsid w:val="00423FEB"/>
    <w:rsid w:val="00424A25"/>
    <w:rsid w:val="00424C2C"/>
    <w:rsid w:val="004250A5"/>
    <w:rsid w:val="00425CF9"/>
    <w:rsid w:val="00425FF4"/>
    <w:rsid w:val="0042629F"/>
    <w:rsid w:val="00426489"/>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D6D"/>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AA7"/>
    <w:rsid w:val="00441B87"/>
    <w:rsid w:val="004422DF"/>
    <w:rsid w:val="0044253C"/>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60C"/>
    <w:rsid w:val="00446920"/>
    <w:rsid w:val="00447351"/>
    <w:rsid w:val="00447B50"/>
    <w:rsid w:val="00447BD5"/>
    <w:rsid w:val="00447C55"/>
    <w:rsid w:val="0045004D"/>
    <w:rsid w:val="00450552"/>
    <w:rsid w:val="00450BFC"/>
    <w:rsid w:val="00450C2B"/>
    <w:rsid w:val="00450E1B"/>
    <w:rsid w:val="004512D8"/>
    <w:rsid w:val="0045153F"/>
    <w:rsid w:val="0045154B"/>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00"/>
    <w:rsid w:val="00465713"/>
    <w:rsid w:val="004659BD"/>
    <w:rsid w:val="00465F2A"/>
    <w:rsid w:val="00466394"/>
    <w:rsid w:val="0046684C"/>
    <w:rsid w:val="004668C7"/>
    <w:rsid w:val="004668CF"/>
    <w:rsid w:val="00466A37"/>
    <w:rsid w:val="00466E27"/>
    <w:rsid w:val="004674B9"/>
    <w:rsid w:val="00467962"/>
    <w:rsid w:val="00467FA5"/>
    <w:rsid w:val="00470D63"/>
    <w:rsid w:val="0047107F"/>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0C8"/>
    <w:rsid w:val="00476187"/>
    <w:rsid w:val="00476309"/>
    <w:rsid w:val="00476590"/>
    <w:rsid w:val="00476D9E"/>
    <w:rsid w:val="00477049"/>
    <w:rsid w:val="00477146"/>
    <w:rsid w:val="004772B4"/>
    <w:rsid w:val="004778C7"/>
    <w:rsid w:val="00477A42"/>
    <w:rsid w:val="00480090"/>
    <w:rsid w:val="0048018C"/>
    <w:rsid w:val="0048066C"/>
    <w:rsid w:val="0048087A"/>
    <w:rsid w:val="00480A9E"/>
    <w:rsid w:val="00480DA7"/>
    <w:rsid w:val="0048154D"/>
    <w:rsid w:val="0048157D"/>
    <w:rsid w:val="0048179C"/>
    <w:rsid w:val="00481A57"/>
    <w:rsid w:val="00481FBE"/>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943"/>
    <w:rsid w:val="00490F9B"/>
    <w:rsid w:val="00491465"/>
    <w:rsid w:val="00491498"/>
    <w:rsid w:val="0049165E"/>
    <w:rsid w:val="0049180E"/>
    <w:rsid w:val="00491A11"/>
    <w:rsid w:val="00491C2A"/>
    <w:rsid w:val="004922A5"/>
    <w:rsid w:val="0049241C"/>
    <w:rsid w:val="004925EC"/>
    <w:rsid w:val="00492B2A"/>
    <w:rsid w:val="00492C0D"/>
    <w:rsid w:val="00492CD9"/>
    <w:rsid w:val="0049412F"/>
    <w:rsid w:val="00494637"/>
    <w:rsid w:val="0049473E"/>
    <w:rsid w:val="0049493E"/>
    <w:rsid w:val="00494F09"/>
    <w:rsid w:val="004956B2"/>
    <w:rsid w:val="0049587E"/>
    <w:rsid w:val="00495986"/>
    <w:rsid w:val="00496141"/>
    <w:rsid w:val="00496446"/>
    <w:rsid w:val="00496465"/>
    <w:rsid w:val="00496982"/>
    <w:rsid w:val="00496C3E"/>
    <w:rsid w:val="0049713E"/>
    <w:rsid w:val="00497A05"/>
    <w:rsid w:val="004A0535"/>
    <w:rsid w:val="004A0717"/>
    <w:rsid w:val="004A07E7"/>
    <w:rsid w:val="004A0D2A"/>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4DDD"/>
    <w:rsid w:val="004B55DC"/>
    <w:rsid w:val="004B5BB3"/>
    <w:rsid w:val="004B7C69"/>
    <w:rsid w:val="004B7FA5"/>
    <w:rsid w:val="004C0346"/>
    <w:rsid w:val="004C0479"/>
    <w:rsid w:val="004C0A38"/>
    <w:rsid w:val="004C1076"/>
    <w:rsid w:val="004C112B"/>
    <w:rsid w:val="004C12BA"/>
    <w:rsid w:val="004C1649"/>
    <w:rsid w:val="004C1A1C"/>
    <w:rsid w:val="004C1AD1"/>
    <w:rsid w:val="004C1DBC"/>
    <w:rsid w:val="004C234B"/>
    <w:rsid w:val="004C2684"/>
    <w:rsid w:val="004C2710"/>
    <w:rsid w:val="004C37B2"/>
    <w:rsid w:val="004C398D"/>
    <w:rsid w:val="004C3ACD"/>
    <w:rsid w:val="004C3C46"/>
    <w:rsid w:val="004C402B"/>
    <w:rsid w:val="004C417C"/>
    <w:rsid w:val="004C4781"/>
    <w:rsid w:val="004C49D5"/>
    <w:rsid w:val="004C4C8A"/>
    <w:rsid w:val="004C4EE4"/>
    <w:rsid w:val="004C5315"/>
    <w:rsid w:val="004C577C"/>
    <w:rsid w:val="004C5798"/>
    <w:rsid w:val="004C581E"/>
    <w:rsid w:val="004C5C4C"/>
    <w:rsid w:val="004C5CEB"/>
    <w:rsid w:val="004C691B"/>
    <w:rsid w:val="004C7235"/>
    <w:rsid w:val="004C72BA"/>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E11"/>
    <w:rsid w:val="004D6506"/>
    <w:rsid w:val="004D6C28"/>
    <w:rsid w:val="004D6FAF"/>
    <w:rsid w:val="004D70A6"/>
    <w:rsid w:val="004D796E"/>
    <w:rsid w:val="004D7BB3"/>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76E"/>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49EF"/>
    <w:rsid w:val="004F4E47"/>
    <w:rsid w:val="004F5160"/>
    <w:rsid w:val="004F5B1B"/>
    <w:rsid w:val="004F5D45"/>
    <w:rsid w:val="004F6035"/>
    <w:rsid w:val="004F6690"/>
    <w:rsid w:val="004F698A"/>
    <w:rsid w:val="004F6BF1"/>
    <w:rsid w:val="004F6F43"/>
    <w:rsid w:val="004F6F5E"/>
    <w:rsid w:val="004F6FA9"/>
    <w:rsid w:val="004F739E"/>
    <w:rsid w:val="004F74CA"/>
    <w:rsid w:val="004F7787"/>
    <w:rsid w:val="004F79B1"/>
    <w:rsid w:val="004F7CC3"/>
    <w:rsid w:val="004F7D13"/>
    <w:rsid w:val="004F7D83"/>
    <w:rsid w:val="004F7EDF"/>
    <w:rsid w:val="00500110"/>
    <w:rsid w:val="00500799"/>
    <w:rsid w:val="00500DE8"/>
    <w:rsid w:val="00501064"/>
    <w:rsid w:val="005014FC"/>
    <w:rsid w:val="0050187A"/>
    <w:rsid w:val="005019B5"/>
    <w:rsid w:val="005019C0"/>
    <w:rsid w:val="0050225A"/>
    <w:rsid w:val="005027B5"/>
    <w:rsid w:val="00502D81"/>
    <w:rsid w:val="00502D90"/>
    <w:rsid w:val="00502E1D"/>
    <w:rsid w:val="00502F97"/>
    <w:rsid w:val="00503352"/>
    <w:rsid w:val="005033D8"/>
    <w:rsid w:val="00503662"/>
    <w:rsid w:val="00503B3A"/>
    <w:rsid w:val="00503C15"/>
    <w:rsid w:val="00503CF7"/>
    <w:rsid w:val="00503F00"/>
    <w:rsid w:val="005042D3"/>
    <w:rsid w:val="00504A6A"/>
    <w:rsid w:val="0050537F"/>
    <w:rsid w:val="00505460"/>
    <w:rsid w:val="00505943"/>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0D27"/>
    <w:rsid w:val="00511120"/>
    <w:rsid w:val="00511156"/>
    <w:rsid w:val="0051118C"/>
    <w:rsid w:val="0051138B"/>
    <w:rsid w:val="00511838"/>
    <w:rsid w:val="00511A66"/>
    <w:rsid w:val="00511E9F"/>
    <w:rsid w:val="00512229"/>
    <w:rsid w:val="00512721"/>
    <w:rsid w:val="00512DFB"/>
    <w:rsid w:val="00512E08"/>
    <w:rsid w:val="005134ED"/>
    <w:rsid w:val="005135E4"/>
    <w:rsid w:val="00513EDA"/>
    <w:rsid w:val="00513F6B"/>
    <w:rsid w:val="005142A8"/>
    <w:rsid w:val="00514425"/>
    <w:rsid w:val="00514E2D"/>
    <w:rsid w:val="00514ECF"/>
    <w:rsid w:val="00515171"/>
    <w:rsid w:val="00515B23"/>
    <w:rsid w:val="00515C39"/>
    <w:rsid w:val="00516381"/>
    <w:rsid w:val="00516487"/>
    <w:rsid w:val="00516C58"/>
    <w:rsid w:val="005173C0"/>
    <w:rsid w:val="00517471"/>
    <w:rsid w:val="005175EC"/>
    <w:rsid w:val="00517829"/>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60C"/>
    <w:rsid w:val="005256C6"/>
    <w:rsid w:val="00525B0A"/>
    <w:rsid w:val="0052624A"/>
    <w:rsid w:val="00526266"/>
    <w:rsid w:val="00526493"/>
    <w:rsid w:val="0052684A"/>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086"/>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9E0"/>
    <w:rsid w:val="005414E2"/>
    <w:rsid w:val="0054160D"/>
    <w:rsid w:val="005416A2"/>
    <w:rsid w:val="00541EB7"/>
    <w:rsid w:val="00542945"/>
    <w:rsid w:val="00542AD5"/>
    <w:rsid w:val="00542B3F"/>
    <w:rsid w:val="00542DE5"/>
    <w:rsid w:val="00542EDE"/>
    <w:rsid w:val="0054302A"/>
    <w:rsid w:val="0054341E"/>
    <w:rsid w:val="00543FC2"/>
    <w:rsid w:val="00543FD6"/>
    <w:rsid w:val="00544088"/>
    <w:rsid w:val="0054433B"/>
    <w:rsid w:val="00544AD7"/>
    <w:rsid w:val="005452DF"/>
    <w:rsid w:val="0054585E"/>
    <w:rsid w:val="00545B76"/>
    <w:rsid w:val="00546073"/>
    <w:rsid w:val="0054736B"/>
    <w:rsid w:val="005478BB"/>
    <w:rsid w:val="00547ACF"/>
    <w:rsid w:val="00547BC4"/>
    <w:rsid w:val="00550BE8"/>
    <w:rsid w:val="00550C69"/>
    <w:rsid w:val="00551607"/>
    <w:rsid w:val="005520DF"/>
    <w:rsid w:val="00552423"/>
    <w:rsid w:val="005528FF"/>
    <w:rsid w:val="005530FE"/>
    <w:rsid w:val="005534BB"/>
    <w:rsid w:val="00553651"/>
    <w:rsid w:val="0055365C"/>
    <w:rsid w:val="00553668"/>
    <w:rsid w:val="005537AE"/>
    <w:rsid w:val="00553ADF"/>
    <w:rsid w:val="005541D4"/>
    <w:rsid w:val="00554A10"/>
    <w:rsid w:val="005550AC"/>
    <w:rsid w:val="00555E4B"/>
    <w:rsid w:val="005565AB"/>
    <w:rsid w:val="00556A21"/>
    <w:rsid w:val="00556E29"/>
    <w:rsid w:val="00556EE7"/>
    <w:rsid w:val="00557053"/>
    <w:rsid w:val="00557073"/>
    <w:rsid w:val="0056060F"/>
    <w:rsid w:val="005613E8"/>
    <w:rsid w:val="0056158C"/>
    <w:rsid w:val="00561622"/>
    <w:rsid w:val="00561816"/>
    <w:rsid w:val="005619B2"/>
    <w:rsid w:val="00561C27"/>
    <w:rsid w:val="0056225F"/>
    <w:rsid w:val="00562414"/>
    <w:rsid w:val="0056255F"/>
    <w:rsid w:val="0056269B"/>
    <w:rsid w:val="00562798"/>
    <w:rsid w:val="0056298E"/>
    <w:rsid w:val="00562C8B"/>
    <w:rsid w:val="00563627"/>
    <w:rsid w:val="0056396A"/>
    <w:rsid w:val="005641CA"/>
    <w:rsid w:val="00564478"/>
    <w:rsid w:val="005647F9"/>
    <w:rsid w:val="00564CE1"/>
    <w:rsid w:val="00564D88"/>
    <w:rsid w:val="00565127"/>
    <w:rsid w:val="00565F98"/>
    <w:rsid w:val="005663B3"/>
    <w:rsid w:val="00566671"/>
    <w:rsid w:val="00566933"/>
    <w:rsid w:val="00566DAC"/>
    <w:rsid w:val="00566FEA"/>
    <w:rsid w:val="005676F5"/>
    <w:rsid w:val="00567C79"/>
    <w:rsid w:val="00570012"/>
    <w:rsid w:val="00570018"/>
    <w:rsid w:val="005704B3"/>
    <w:rsid w:val="005705A3"/>
    <w:rsid w:val="005715BD"/>
    <w:rsid w:val="00571A81"/>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5E52"/>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8AA"/>
    <w:rsid w:val="0059296E"/>
    <w:rsid w:val="00592D66"/>
    <w:rsid w:val="00592E64"/>
    <w:rsid w:val="00593021"/>
    <w:rsid w:val="005930BC"/>
    <w:rsid w:val="005938B8"/>
    <w:rsid w:val="00594595"/>
    <w:rsid w:val="00594764"/>
    <w:rsid w:val="0059485F"/>
    <w:rsid w:val="005949B0"/>
    <w:rsid w:val="005951B2"/>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1F0"/>
    <w:rsid w:val="005A6CF5"/>
    <w:rsid w:val="005A7264"/>
    <w:rsid w:val="005A74DB"/>
    <w:rsid w:val="005A74EC"/>
    <w:rsid w:val="005A76E4"/>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3F1"/>
    <w:rsid w:val="005C5402"/>
    <w:rsid w:val="005C5504"/>
    <w:rsid w:val="005C5DEF"/>
    <w:rsid w:val="005C5ECE"/>
    <w:rsid w:val="005C5ED9"/>
    <w:rsid w:val="005C6825"/>
    <w:rsid w:val="005C6B73"/>
    <w:rsid w:val="005C6BE2"/>
    <w:rsid w:val="005C7A7A"/>
    <w:rsid w:val="005D0397"/>
    <w:rsid w:val="005D0565"/>
    <w:rsid w:val="005D071D"/>
    <w:rsid w:val="005D09B8"/>
    <w:rsid w:val="005D09BD"/>
    <w:rsid w:val="005D0E1C"/>
    <w:rsid w:val="005D1075"/>
    <w:rsid w:val="005D1248"/>
    <w:rsid w:val="005D1255"/>
    <w:rsid w:val="005D12C4"/>
    <w:rsid w:val="005D141F"/>
    <w:rsid w:val="005D1494"/>
    <w:rsid w:val="005D19F0"/>
    <w:rsid w:val="005D1C5E"/>
    <w:rsid w:val="005D1FD0"/>
    <w:rsid w:val="005D2102"/>
    <w:rsid w:val="005D2885"/>
    <w:rsid w:val="005D395A"/>
    <w:rsid w:val="005D3E83"/>
    <w:rsid w:val="005D48A2"/>
    <w:rsid w:val="005D497A"/>
    <w:rsid w:val="005D4AA8"/>
    <w:rsid w:val="005D5850"/>
    <w:rsid w:val="005D59F3"/>
    <w:rsid w:val="005D62B3"/>
    <w:rsid w:val="005D648B"/>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FDD"/>
    <w:rsid w:val="005E651B"/>
    <w:rsid w:val="005E6A00"/>
    <w:rsid w:val="005E6DD2"/>
    <w:rsid w:val="005E74A0"/>
    <w:rsid w:val="005E7D9F"/>
    <w:rsid w:val="005E7E2C"/>
    <w:rsid w:val="005E7ECE"/>
    <w:rsid w:val="005E7FAB"/>
    <w:rsid w:val="005F0BB2"/>
    <w:rsid w:val="005F0C5A"/>
    <w:rsid w:val="005F0D01"/>
    <w:rsid w:val="005F0E38"/>
    <w:rsid w:val="005F106A"/>
    <w:rsid w:val="005F1726"/>
    <w:rsid w:val="005F1B40"/>
    <w:rsid w:val="005F1F06"/>
    <w:rsid w:val="005F2030"/>
    <w:rsid w:val="005F2104"/>
    <w:rsid w:val="005F2738"/>
    <w:rsid w:val="005F2CD9"/>
    <w:rsid w:val="005F2DD4"/>
    <w:rsid w:val="005F38C8"/>
    <w:rsid w:val="005F40BB"/>
    <w:rsid w:val="005F4CC2"/>
    <w:rsid w:val="005F4DBA"/>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648"/>
    <w:rsid w:val="00601ECC"/>
    <w:rsid w:val="00602003"/>
    <w:rsid w:val="006023D9"/>
    <w:rsid w:val="0060269A"/>
    <w:rsid w:val="00602739"/>
    <w:rsid w:val="00602916"/>
    <w:rsid w:val="00602979"/>
    <w:rsid w:val="0060303E"/>
    <w:rsid w:val="00603085"/>
    <w:rsid w:val="00603830"/>
    <w:rsid w:val="006039C8"/>
    <w:rsid w:val="00603BF1"/>
    <w:rsid w:val="006040D0"/>
    <w:rsid w:val="006045BA"/>
    <w:rsid w:val="00604691"/>
    <w:rsid w:val="00604976"/>
    <w:rsid w:val="00604A64"/>
    <w:rsid w:val="00604F9B"/>
    <w:rsid w:val="00605B53"/>
    <w:rsid w:val="00605F62"/>
    <w:rsid w:val="00605F91"/>
    <w:rsid w:val="00606402"/>
    <w:rsid w:val="00606440"/>
    <w:rsid w:val="00606505"/>
    <w:rsid w:val="0060655A"/>
    <w:rsid w:val="00606818"/>
    <w:rsid w:val="00606951"/>
    <w:rsid w:val="00606CC0"/>
    <w:rsid w:val="00606CDD"/>
    <w:rsid w:val="006071AD"/>
    <w:rsid w:val="006072AD"/>
    <w:rsid w:val="00607702"/>
    <w:rsid w:val="0060793A"/>
    <w:rsid w:val="00610620"/>
    <w:rsid w:val="00610CA6"/>
    <w:rsid w:val="0061110A"/>
    <w:rsid w:val="006112CD"/>
    <w:rsid w:val="00611A84"/>
    <w:rsid w:val="00611AEA"/>
    <w:rsid w:val="00611B10"/>
    <w:rsid w:val="00611D72"/>
    <w:rsid w:val="00611ED0"/>
    <w:rsid w:val="0061201A"/>
    <w:rsid w:val="006120DB"/>
    <w:rsid w:val="00612230"/>
    <w:rsid w:val="00612DE6"/>
    <w:rsid w:val="00612EAE"/>
    <w:rsid w:val="0061305C"/>
    <w:rsid w:val="00613920"/>
    <w:rsid w:val="00613A36"/>
    <w:rsid w:val="00613B4D"/>
    <w:rsid w:val="00614254"/>
    <w:rsid w:val="00614317"/>
    <w:rsid w:val="0061433C"/>
    <w:rsid w:val="006143BD"/>
    <w:rsid w:val="0061440E"/>
    <w:rsid w:val="0061445B"/>
    <w:rsid w:val="006146B5"/>
    <w:rsid w:val="00614C53"/>
    <w:rsid w:val="00614CB5"/>
    <w:rsid w:val="00615153"/>
    <w:rsid w:val="00615263"/>
    <w:rsid w:val="0061599C"/>
    <w:rsid w:val="00615AD4"/>
    <w:rsid w:val="0061619C"/>
    <w:rsid w:val="0061633B"/>
    <w:rsid w:val="00616BFE"/>
    <w:rsid w:val="00617567"/>
    <w:rsid w:val="00617C5A"/>
    <w:rsid w:val="00617D36"/>
    <w:rsid w:val="00617FA5"/>
    <w:rsid w:val="00620A75"/>
    <w:rsid w:val="00621089"/>
    <w:rsid w:val="00621407"/>
    <w:rsid w:val="0062156C"/>
    <w:rsid w:val="00621757"/>
    <w:rsid w:val="00621D27"/>
    <w:rsid w:val="00622068"/>
    <w:rsid w:val="00622B92"/>
    <w:rsid w:val="00622CC0"/>
    <w:rsid w:val="00622E33"/>
    <w:rsid w:val="00622FC5"/>
    <w:rsid w:val="00623C20"/>
    <w:rsid w:val="006243D6"/>
    <w:rsid w:val="00624A25"/>
    <w:rsid w:val="00624C9C"/>
    <w:rsid w:val="00624FB0"/>
    <w:rsid w:val="006254B4"/>
    <w:rsid w:val="006254FD"/>
    <w:rsid w:val="006262CF"/>
    <w:rsid w:val="006266D4"/>
    <w:rsid w:val="006266E1"/>
    <w:rsid w:val="006266FA"/>
    <w:rsid w:val="00627067"/>
    <w:rsid w:val="00627212"/>
    <w:rsid w:val="0062728C"/>
    <w:rsid w:val="006272B9"/>
    <w:rsid w:val="00627D68"/>
    <w:rsid w:val="006302E0"/>
    <w:rsid w:val="00630767"/>
    <w:rsid w:val="006307CD"/>
    <w:rsid w:val="00630E39"/>
    <w:rsid w:val="0063103F"/>
    <w:rsid w:val="0063133D"/>
    <w:rsid w:val="00631925"/>
    <w:rsid w:val="00631D9A"/>
    <w:rsid w:val="006326EA"/>
    <w:rsid w:val="006330C8"/>
    <w:rsid w:val="006331BD"/>
    <w:rsid w:val="00633361"/>
    <w:rsid w:val="00633473"/>
    <w:rsid w:val="00633D4A"/>
    <w:rsid w:val="00634481"/>
    <w:rsid w:val="00634813"/>
    <w:rsid w:val="00634A54"/>
    <w:rsid w:val="00634E22"/>
    <w:rsid w:val="006357F6"/>
    <w:rsid w:val="00635893"/>
    <w:rsid w:val="00635A9E"/>
    <w:rsid w:val="00635C17"/>
    <w:rsid w:val="00635FEF"/>
    <w:rsid w:val="00636354"/>
    <w:rsid w:val="00636447"/>
    <w:rsid w:val="00636752"/>
    <w:rsid w:val="00636998"/>
    <w:rsid w:val="00636A17"/>
    <w:rsid w:val="0063703B"/>
    <w:rsid w:val="006378C4"/>
    <w:rsid w:val="00640E50"/>
    <w:rsid w:val="00640EC7"/>
    <w:rsid w:val="00640F0F"/>
    <w:rsid w:val="00640F46"/>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4EB6"/>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B76"/>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9DB"/>
    <w:rsid w:val="00654B16"/>
    <w:rsid w:val="00654C98"/>
    <w:rsid w:val="00654F06"/>
    <w:rsid w:val="00655501"/>
    <w:rsid w:val="006556BA"/>
    <w:rsid w:val="00655BFD"/>
    <w:rsid w:val="00655E3E"/>
    <w:rsid w:val="00655F1F"/>
    <w:rsid w:val="00655F4D"/>
    <w:rsid w:val="00656718"/>
    <w:rsid w:val="00656BAC"/>
    <w:rsid w:val="00656D73"/>
    <w:rsid w:val="00656F72"/>
    <w:rsid w:val="00656FF4"/>
    <w:rsid w:val="00657621"/>
    <w:rsid w:val="00657A05"/>
    <w:rsid w:val="00657E3B"/>
    <w:rsid w:val="00657E81"/>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8F1"/>
    <w:rsid w:val="00671D89"/>
    <w:rsid w:val="00671FFF"/>
    <w:rsid w:val="00672399"/>
    <w:rsid w:val="0067295F"/>
    <w:rsid w:val="00672BB1"/>
    <w:rsid w:val="00672D08"/>
    <w:rsid w:val="00673B0F"/>
    <w:rsid w:val="00673B43"/>
    <w:rsid w:val="00673F70"/>
    <w:rsid w:val="00674196"/>
    <w:rsid w:val="00674720"/>
    <w:rsid w:val="00674C30"/>
    <w:rsid w:val="00674EDE"/>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4C3"/>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BFF"/>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57"/>
    <w:rsid w:val="00696530"/>
    <w:rsid w:val="006967A1"/>
    <w:rsid w:val="00696D1D"/>
    <w:rsid w:val="00697477"/>
    <w:rsid w:val="0069749C"/>
    <w:rsid w:val="006979E4"/>
    <w:rsid w:val="00697AB9"/>
    <w:rsid w:val="00697C5D"/>
    <w:rsid w:val="00697EA6"/>
    <w:rsid w:val="006A0425"/>
    <w:rsid w:val="006A05CD"/>
    <w:rsid w:val="006A0FAB"/>
    <w:rsid w:val="006A14B6"/>
    <w:rsid w:val="006A1A20"/>
    <w:rsid w:val="006A23C9"/>
    <w:rsid w:val="006A25C2"/>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6B36"/>
    <w:rsid w:val="006A73C4"/>
    <w:rsid w:val="006A7BC9"/>
    <w:rsid w:val="006B00A9"/>
    <w:rsid w:val="006B0264"/>
    <w:rsid w:val="006B04EB"/>
    <w:rsid w:val="006B05D3"/>
    <w:rsid w:val="006B0F4B"/>
    <w:rsid w:val="006B13BB"/>
    <w:rsid w:val="006B14EB"/>
    <w:rsid w:val="006B16AB"/>
    <w:rsid w:val="006B1B43"/>
    <w:rsid w:val="006B1C34"/>
    <w:rsid w:val="006B21E2"/>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1C5"/>
    <w:rsid w:val="006C04FB"/>
    <w:rsid w:val="006C08AE"/>
    <w:rsid w:val="006C0ABF"/>
    <w:rsid w:val="006C0BAF"/>
    <w:rsid w:val="006C0C3D"/>
    <w:rsid w:val="006C1465"/>
    <w:rsid w:val="006C15C1"/>
    <w:rsid w:val="006C162F"/>
    <w:rsid w:val="006C16EE"/>
    <w:rsid w:val="006C1C93"/>
    <w:rsid w:val="006C1FF5"/>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228"/>
    <w:rsid w:val="006C660C"/>
    <w:rsid w:val="006C66D5"/>
    <w:rsid w:val="006C68CD"/>
    <w:rsid w:val="006C71AB"/>
    <w:rsid w:val="006C7F3B"/>
    <w:rsid w:val="006D0741"/>
    <w:rsid w:val="006D0A00"/>
    <w:rsid w:val="006D0A6F"/>
    <w:rsid w:val="006D0E5A"/>
    <w:rsid w:val="006D0EC4"/>
    <w:rsid w:val="006D10E8"/>
    <w:rsid w:val="006D119C"/>
    <w:rsid w:val="006D150B"/>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42F"/>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BC9"/>
    <w:rsid w:val="006E5FC9"/>
    <w:rsid w:val="006E6C8C"/>
    <w:rsid w:val="006E7019"/>
    <w:rsid w:val="006E711E"/>
    <w:rsid w:val="006E71FE"/>
    <w:rsid w:val="006E7291"/>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89A"/>
    <w:rsid w:val="0070005F"/>
    <w:rsid w:val="007002D5"/>
    <w:rsid w:val="0070093E"/>
    <w:rsid w:val="00700C18"/>
    <w:rsid w:val="007010C5"/>
    <w:rsid w:val="007011AB"/>
    <w:rsid w:val="00701595"/>
    <w:rsid w:val="00701BC0"/>
    <w:rsid w:val="00701F5E"/>
    <w:rsid w:val="007023F5"/>
    <w:rsid w:val="00702B73"/>
    <w:rsid w:val="00702D28"/>
    <w:rsid w:val="00702D7B"/>
    <w:rsid w:val="00703986"/>
    <w:rsid w:val="00703AF1"/>
    <w:rsid w:val="00703BC5"/>
    <w:rsid w:val="00703F6F"/>
    <w:rsid w:val="00704255"/>
    <w:rsid w:val="00704C93"/>
    <w:rsid w:val="00704D0F"/>
    <w:rsid w:val="007054FD"/>
    <w:rsid w:val="00705752"/>
    <w:rsid w:val="00705A9E"/>
    <w:rsid w:val="00705C91"/>
    <w:rsid w:val="00706347"/>
    <w:rsid w:val="007065FE"/>
    <w:rsid w:val="0070663E"/>
    <w:rsid w:val="00706747"/>
    <w:rsid w:val="00706F9F"/>
    <w:rsid w:val="007070EE"/>
    <w:rsid w:val="00707264"/>
    <w:rsid w:val="00707373"/>
    <w:rsid w:val="00707B50"/>
    <w:rsid w:val="007101DF"/>
    <w:rsid w:val="007102F2"/>
    <w:rsid w:val="0071108E"/>
    <w:rsid w:val="007112FA"/>
    <w:rsid w:val="007114A6"/>
    <w:rsid w:val="0071172A"/>
    <w:rsid w:val="007117BD"/>
    <w:rsid w:val="0071198A"/>
    <w:rsid w:val="00711BDB"/>
    <w:rsid w:val="00711F73"/>
    <w:rsid w:val="007120C9"/>
    <w:rsid w:val="0071253A"/>
    <w:rsid w:val="0071329F"/>
    <w:rsid w:val="00713906"/>
    <w:rsid w:val="00713B45"/>
    <w:rsid w:val="00714FD3"/>
    <w:rsid w:val="0071518E"/>
    <w:rsid w:val="00715204"/>
    <w:rsid w:val="0071530E"/>
    <w:rsid w:val="00715952"/>
    <w:rsid w:val="00715EE8"/>
    <w:rsid w:val="00716795"/>
    <w:rsid w:val="007169A1"/>
    <w:rsid w:val="00716CA0"/>
    <w:rsid w:val="00716DA5"/>
    <w:rsid w:val="007172B7"/>
    <w:rsid w:val="007178CC"/>
    <w:rsid w:val="00717A3E"/>
    <w:rsid w:val="00717B97"/>
    <w:rsid w:val="00720154"/>
    <w:rsid w:val="007202E0"/>
    <w:rsid w:val="007209C2"/>
    <w:rsid w:val="00720CF3"/>
    <w:rsid w:val="00720D32"/>
    <w:rsid w:val="00720D3D"/>
    <w:rsid w:val="007219AA"/>
    <w:rsid w:val="007219FD"/>
    <w:rsid w:val="00721A9C"/>
    <w:rsid w:val="00722097"/>
    <w:rsid w:val="0072212E"/>
    <w:rsid w:val="007221FA"/>
    <w:rsid w:val="0072239F"/>
    <w:rsid w:val="0072260B"/>
    <w:rsid w:val="0072287E"/>
    <w:rsid w:val="00722A0A"/>
    <w:rsid w:val="007230EC"/>
    <w:rsid w:val="00723379"/>
    <w:rsid w:val="007239D7"/>
    <w:rsid w:val="00723CAA"/>
    <w:rsid w:val="007244C5"/>
    <w:rsid w:val="00724536"/>
    <w:rsid w:val="007253F3"/>
    <w:rsid w:val="00725BC7"/>
    <w:rsid w:val="00725C74"/>
    <w:rsid w:val="007261D2"/>
    <w:rsid w:val="00726A4B"/>
    <w:rsid w:val="00726B50"/>
    <w:rsid w:val="00726E5A"/>
    <w:rsid w:val="00727294"/>
    <w:rsid w:val="00727346"/>
    <w:rsid w:val="0072771D"/>
    <w:rsid w:val="00727BF4"/>
    <w:rsid w:val="00727D59"/>
    <w:rsid w:val="007312FD"/>
    <w:rsid w:val="00731798"/>
    <w:rsid w:val="007322F9"/>
    <w:rsid w:val="007327DF"/>
    <w:rsid w:val="00732B3E"/>
    <w:rsid w:val="00732B4D"/>
    <w:rsid w:val="0073302E"/>
    <w:rsid w:val="00733080"/>
    <w:rsid w:val="007334AC"/>
    <w:rsid w:val="00733881"/>
    <w:rsid w:val="00733AA2"/>
    <w:rsid w:val="00733BAD"/>
    <w:rsid w:val="00733CAD"/>
    <w:rsid w:val="00733DB9"/>
    <w:rsid w:val="00733DE8"/>
    <w:rsid w:val="00733F70"/>
    <w:rsid w:val="00733FAF"/>
    <w:rsid w:val="00734617"/>
    <w:rsid w:val="007346AC"/>
    <w:rsid w:val="007347E0"/>
    <w:rsid w:val="00734B53"/>
    <w:rsid w:val="007352A2"/>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5E9"/>
    <w:rsid w:val="0074479B"/>
    <w:rsid w:val="00745118"/>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EAA"/>
    <w:rsid w:val="00750F60"/>
    <w:rsid w:val="00750FCA"/>
    <w:rsid w:val="0075175B"/>
    <w:rsid w:val="00752085"/>
    <w:rsid w:val="007525FC"/>
    <w:rsid w:val="00752726"/>
    <w:rsid w:val="0075295B"/>
    <w:rsid w:val="00753414"/>
    <w:rsid w:val="0075357D"/>
    <w:rsid w:val="007535AA"/>
    <w:rsid w:val="007535DA"/>
    <w:rsid w:val="0075373B"/>
    <w:rsid w:val="00753B4F"/>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78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6D"/>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D6D"/>
    <w:rsid w:val="00773376"/>
    <w:rsid w:val="0077367F"/>
    <w:rsid w:val="0077392D"/>
    <w:rsid w:val="00773C98"/>
    <w:rsid w:val="00773E3E"/>
    <w:rsid w:val="00774EEB"/>
    <w:rsid w:val="007753D6"/>
    <w:rsid w:val="00775452"/>
    <w:rsid w:val="007755A5"/>
    <w:rsid w:val="0077571D"/>
    <w:rsid w:val="007759C3"/>
    <w:rsid w:val="007763B8"/>
    <w:rsid w:val="0077641A"/>
    <w:rsid w:val="00776A64"/>
    <w:rsid w:val="00776ADF"/>
    <w:rsid w:val="00776C58"/>
    <w:rsid w:val="00776E69"/>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76"/>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23"/>
    <w:rsid w:val="00786B21"/>
    <w:rsid w:val="00787178"/>
    <w:rsid w:val="007871B2"/>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BB"/>
    <w:rsid w:val="007A05FD"/>
    <w:rsid w:val="007A09E6"/>
    <w:rsid w:val="007A1097"/>
    <w:rsid w:val="007A146A"/>
    <w:rsid w:val="007A1488"/>
    <w:rsid w:val="007A1511"/>
    <w:rsid w:val="007A1601"/>
    <w:rsid w:val="007A1A56"/>
    <w:rsid w:val="007A21C2"/>
    <w:rsid w:val="007A22B8"/>
    <w:rsid w:val="007A2603"/>
    <w:rsid w:val="007A2C14"/>
    <w:rsid w:val="007A2C47"/>
    <w:rsid w:val="007A3485"/>
    <w:rsid w:val="007A38DD"/>
    <w:rsid w:val="007A3903"/>
    <w:rsid w:val="007A3B3F"/>
    <w:rsid w:val="007A3FE8"/>
    <w:rsid w:val="007A402E"/>
    <w:rsid w:val="007A424F"/>
    <w:rsid w:val="007A47A1"/>
    <w:rsid w:val="007A47C6"/>
    <w:rsid w:val="007A4821"/>
    <w:rsid w:val="007A4B65"/>
    <w:rsid w:val="007A4BA3"/>
    <w:rsid w:val="007A4C6F"/>
    <w:rsid w:val="007A4DE7"/>
    <w:rsid w:val="007A4E1C"/>
    <w:rsid w:val="007A4EA8"/>
    <w:rsid w:val="007A5758"/>
    <w:rsid w:val="007A5E1C"/>
    <w:rsid w:val="007A61E0"/>
    <w:rsid w:val="007A63BF"/>
    <w:rsid w:val="007A6488"/>
    <w:rsid w:val="007A71E7"/>
    <w:rsid w:val="007A766B"/>
    <w:rsid w:val="007A7A5E"/>
    <w:rsid w:val="007A7C12"/>
    <w:rsid w:val="007A7DED"/>
    <w:rsid w:val="007A7DF2"/>
    <w:rsid w:val="007B00D1"/>
    <w:rsid w:val="007B01F0"/>
    <w:rsid w:val="007B03D2"/>
    <w:rsid w:val="007B0B6E"/>
    <w:rsid w:val="007B0F02"/>
    <w:rsid w:val="007B1164"/>
    <w:rsid w:val="007B140D"/>
    <w:rsid w:val="007B197C"/>
    <w:rsid w:val="007B1F76"/>
    <w:rsid w:val="007B27B4"/>
    <w:rsid w:val="007B2802"/>
    <w:rsid w:val="007B2F0F"/>
    <w:rsid w:val="007B3314"/>
    <w:rsid w:val="007B384D"/>
    <w:rsid w:val="007B3BA0"/>
    <w:rsid w:val="007B4113"/>
    <w:rsid w:val="007B431B"/>
    <w:rsid w:val="007B4412"/>
    <w:rsid w:val="007B47D4"/>
    <w:rsid w:val="007B4823"/>
    <w:rsid w:val="007B4EC0"/>
    <w:rsid w:val="007B5135"/>
    <w:rsid w:val="007B5174"/>
    <w:rsid w:val="007B51F1"/>
    <w:rsid w:val="007B521E"/>
    <w:rsid w:val="007B541D"/>
    <w:rsid w:val="007B55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E92"/>
    <w:rsid w:val="007C0733"/>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26"/>
    <w:rsid w:val="007C33A4"/>
    <w:rsid w:val="007C348B"/>
    <w:rsid w:val="007C3580"/>
    <w:rsid w:val="007C364B"/>
    <w:rsid w:val="007C36CA"/>
    <w:rsid w:val="007C3BDD"/>
    <w:rsid w:val="007C4181"/>
    <w:rsid w:val="007C472A"/>
    <w:rsid w:val="007C477E"/>
    <w:rsid w:val="007C4BCE"/>
    <w:rsid w:val="007C4EA8"/>
    <w:rsid w:val="007C518E"/>
    <w:rsid w:val="007C51E7"/>
    <w:rsid w:val="007C5400"/>
    <w:rsid w:val="007C5554"/>
    <w:rsid w:val="007C57D5"/>
    <w:rsid w:val="007C6014"/>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CAB"/>
    <w:rsid w:val="007D1D3B"/>
    <w:rsid w:val="007D20E3"/>
    <w:rsid w:val="007D2187"/>
    <w:rsid w:val="007D229D"/>
    <w:rsid w:val="007D25BC"/>
    <w:rsid w:val="007D29CE"/>
    <w:rsid w:val="007D2F8D"/>
    <w:rsid w:val="007D3339"/>
    <w:rsid w:val="007D45FF"/>
    <w:rsid w:val="007D4784"/>
    <w:rsid w:val="007D4AB6"/>
    <w:rsid w:val="007D4B22"/>
    <w:rsid w:val="007D4E91"/>
    <w:rsid w:val="007D50FD"/>
    <w:rsid w:val="007D5363"/>
    <w:rsid w:val="007D5449"/>
    <w:rsid w:val="007D5534"/>
    <w:rsid w:val="007D5758"/>
    <w:rsid w:val="007D57A1"/>
    <w:rsid w:val="007D5923"/>
    <w:rsid w:val="007D5A97"/>
    <w:rsid w:val="007D5C33"/>
    <w:rsid w:val="007D605B"/>
    <w:rsid w:val="007D6F2B"/>
    <w:rsid w:val="007D7DE0"/>
    <w:rsid w:val="007D7FEE"/>
    <w:rsid w:val="007E0104"/>
    <w:rsid w:val="007E0493"/>
    <w:rsid w:val="007E04BE"/>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F2B"/>
    <w:rsid w:val="007E5278"/>
    <w:rsid w:val="007E536E"/>
    <w:rsid w:val="007E5C43"/>
    <w:rsid w:val="007E5DAB"/>
    <w:rsid w:val="007E5F8D"/>
    <w:rsid w:val="007E679C"/>
    <w:rsid w:val="007E6818"/>
    <w:rsid w:val="007E6819"/>
    <w:rsid w:val="007E6F77"/>
    <w:rsid w:val="007E7B22"/>
    <w:rsid w:val="007E7BF2"/>
    <w:rsid w:val="007E7E4B"/>
    <w:rsid w:val="007E7F34"/>
    <w:rsid w:val="007F09AD"/>
    <w:rsid w:val="007F1A6B"/>
    <w:rsid w:val="007F1D7C"/>
    <w:rsid w:val="007F2545"/>
    <w:rsid w:val="007F26D5"/>
    <w:rsid w:val="007F297D"/>
    <w:rsid w:val="007F2BA6"/>
    <w:rsid w:val="007F3088"/>
    <w:rsid w:val="007F32C9"/>
    <w:rsid w:val="007F35A0"/>
    <w:rsid w:val="007F4249"/>
    <w:rsid w:val="007F4643"/>
    <w:rsid w:val="007F4C28"/>
    <w:rsid w:val="007F52F1"/>
    <w:rsid w:val="007F5368"/>
    <w:rsid w:val="007F5B9D"/>
    <w:rsid w:val="007F5E2A"/>
    <w:rsid w:val="007F66D7"/>
    <w:rsid w:val="007F672F"/>
    <w:rsid w:val="007F68B8"/>
    <w:rsid w:val="007F6F7A"/>
    <w:rsid w:val="007F7420"/>
    <w:rsid w:val="007F75BE"/>
    <w:rsid w:val="007F76E7"/>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8AD"/>
    <w:rsid w:val="0080394D"/>
    <w:rsid w:val="00803E7F"/>
    <w:rsid w:val="00804202"/>
    <w:rsid w:val="0080475D"/>
    <w:rsid w:val="008049A7"/>
    <w:rsid w:val="00804B47"/>
    <w:rsid w:val="00805563"/>
    <w:rsid w:val="00805D15"/>
    <w:rsid w:val="00805E38"/>
    <w:rsid w:val="0080638B"/>
    <w:rsid w:val="00806D44"/>
    <w:rsid w:val="00807076"/>
    <w:rsid w:val="0080709E"/>
    <w:rsid w:val="008072D4"/>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D4"/>
    <w:rsid w:val="00812815"/>
    <w:rsid w:val="00812942"/>
    <w:rsid w:val="00812A26"/>
    <w:rsid w:val="00812A2A"/>
    <w:rsid w:val="008130E7"/>
    <w:rsid w:val="008134CB"/>
    <w:rsid w:val="0081365B"/>
    <w:rsid w:val="00813897"/>
    <w:rsid w:val="00813B7A"/>
    <w:rsid w:val="008141F0"/>
    <w:rsid w:val="008144C5"/>
    <w:rsid w:val="0081492D"/>
    <w:rsid w:val="0081521B"/>
    <w:rsid w:val="00815479"/>
    <w:rsid w:val="00815A5C"/>
    <w:rsid w:val="00815BDC"/>
    <w:rsid w:val="00816944"/>
    <w:rsid w:val="00816E7C"/>
    <w:rsid w:val="008176BB"/>
    <w:rsid w:val="00817873"/>
    <w:rsid w:val="00817CEB"/>
    <w:rsid w:val="00820451"/>
    <w:rsid w:val="008207F6"/>
    <w:rsid w:val="00820B45"/>
    <w:rsid w:val="00820CF6"/>
    <w:rsid w:val="00820F1C"/>
    <w:rsid w:val="00821262"/>
    <w:rsid w:val="008212DD"/>
    <w:rsid w:val="00821EEC"/>
    <w:rsid w:val="008226F0"/>
    <w:rsid w:val="008227BC"/>
    <w:rsid w:val="00822AEC"/>
    <w:rsid w:val="00822EB8"/>
    <w:rsid w:val="008230D6"/>
    <w:rsid w:val="00823238"/>
    <w:rsid w:val="00823550"/>
    <w:rsid w:val="008236C5"/>
    <w:rsid w:val="008238B0"/>
    <w:rsid w:val="00823A3A"/>
    <w:rsid w:val="00823F98"/>
    <w:rsid w:val="00824171"/>
    <w:rsid w:val="0082438E"/>
    <w:rsid w:val="00824CE1"/>
    <w:rsid w:val="00824E40"/>
    <w:rsid w:val="00824EDE"/>
    <w:rsid w:val="0082545D"/>
    <w:rsid w:val="00825489"/>
    <w:rsid w:val="00825C51"/>
    <w:rsid w:val="00825D71"/>
    <w:rsid w:val="00825DF1"/>
    <w:rsid w:val="0082647E"/>
    <w:rsid w:val="00826694"/>
    <w:rsid w:val="0082677C"/>
    <w:rsid w:val="008267A5"/>
    <w:rsid w:val="00826925"/>
    <w:rsid w:val="00826FF7"/>
    <w:rsid w:val="008273E7"/>
    <w:rsid w:val="00827625"/>
    <w:rsid w:val="008276EA"/>
    <w:rsid w:val="00827871"/>
    <w:rsid w:val="00827CEB"/>
    <w:rsid w:val="00827DC6"/>
    <w:rsid w:val="00830017"/>
    <w:rsid w:val="008300F0"/>
    <w:rsid w:val="008303B6"/>
    <w:rsid w:val="008303BE"/>
    <w:rsid w:val="00830404"/>
    <w:rsid w:val="008307A6"/>
    <w:rsid w:val="00830B7E"/>
    <w:rsid w:val="0083118D"/>
    <w:rsid w:val="008311CD"/>
    <w:rsid w:val="00831389"/>
    <w:rsid w:val="008313B0"/>
    <w:rsid w:val="00831538"/>
    <w:rsid w:val="0083185E"/>
    <w:rsid w:val="00831A6B"/>
    <w:rsid w:val="00831F08"/>
    <w:rsid w:val="00831F50"/>
    <w:rsid w:val="0083212F"/>
    <w:rsid w:val="008321FA"/>
    <w:rsid w:val="008329DB"/>
    <w:rsid w:val="00832F3E"/>
    <w:rsid w:val="00833065"/>
    <w:rsid w:val="008332B4"/>
    <w:rsid w:val="008334B7"/>
    <w:rsid w:val="008336FF"/>
    <w:rsid w:val="00833DD1"/>
    <w:rsid w:val="00834526"/>
    <w:rsid w:val="00834719"/>
    <w:rsid w:val="008352BE"/>
    <w:rsid w:val="0083594F"/>
    <w:rsid w:val="00835EDE"/>
    <w:rsid w:val="0083644E"/>
    <w:rsid w:val="00836702"/>
    <w:rsid w:val="00836A4F"/>
    <w:rsid w:val="00836DDA"/>
    <w:rsid w:val="00836EF0"/>
    <w:rsid w:val="008370A9"/>
    <w:rsid w:val="008376D8"/>
    <w:rsid w:val="0083775B"/>
    <w:rsid w:val="00840491"/>
    <w:rsid w:val="00840D81"/>
    <w:rsid w:val="00840DFB"/>
    <w:rsid w:val="00840EEC"/>
    <w:rsid w:val="008411DF"/>
    <w:rsid w:val="008411FB"/>
    <w:rsid w:val="00841202"/>
    <w:rsid w:val="00841303"/>
    <w:rsid w:val="00841F95"/>
    <w:rsid w:val="00842269"/>
    <w:rsid w:val="008423CE"/>
    <w:rsid w:val="0084291E"/>
    <w:rsid w:val="00842D21"/>
    <w:rsid w:val="00842F95"/>
    <w:rsid w:val="00843072"/>
    <w:rsid w:val="008432D3"/>
    <w:rsid w:val="008436A2"/>
    <w:rsid w:val="00843894"/>
    <w:rsid w:val="00843B3D"/>
    <w:rsid w:val="00843DD7"/>
    <w:rsid w:val="008445F6"/>
    <w:rsid w:val="00844875"/>
    <w:rsid w:val="008448E9"/>
    <w:rsid w:val="00844B28"/>
    <w:rsid w:val="00844B85"/>
    <w:rsid w:val="00845010"/>
    <w:rsid w:val="0084503F"/>
    <w:rsid w:val="0084589F"/>
    <w:rsid w:val="00846199"/>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A6D"/>
    <w:rsid w:val="00850DE6"/>
    <w:rsid w:val="008514E3"/>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31F"/>
    <w:rsid w:val="00855C73"/>
    <w:rsid w:val="00855D27"/>
    <w:rsid w:val="00856840"/>
    <w:rsid w:val="00856B69"/>
    <w:rsid w:val="00857045"/>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1BF"/>
    <w:rsid w:val="008652B7"/>
    <w:rsid w:val="00865535"/>
    <w:rsid w:val="00865EE9"/>
    <w:rsid w:val="00866189"/>
    <w:rsid w:val="00866310"/>
    <w:rsid w:val="0086636C"/>
    <w:rsid w:val="00866511"/>
    <w:rsid w:val="008666A0"/>
    <w:rsid w:val="00866B22"/>
    <w:rsid w:val="00866C7C"/>
    <w:rsid w:val="00867115"/>
    <w:rsid w:val="008671AA"/>
    <w:rsid w:val="00867573"/>
    <w:rsid w:val="00867831"/>
    <w:rsid w:val="00867877"/>
    <w:rsid w:val="008678D0"/>
    <w:rsid w:val="00867908"/>
    <w:rsid w:val="00867C64"/>
    <w:rsid w:val="0087038B"/>
    <w:rsid w:val="008704DF"/>
    <w:rsid w:val="00870765"/>
    <w:rsid w:val="008708C9"/>
    <w:rsid w:val="00870F09"/>
    <w:rsid w:val="00870F1D"/>
    <w:rsid w:val="0087121C"/>
    <w:rsid w:val="008715CB"/>
    <w:rsid w:val="00871FF2"/>
    <w:rsid w:val="008721A0"/>
    <w:rsid w:val="008727CD"/>
    <w:rsid w:val="008727D8"/>
    <w:rsid w:val="00872ABD"/>
    <w:rsid w:val="00872B1F"/>
    <w:rsid w:val="00872CCB"/>
    <w:rsid w:val="008730AA"/>
    <w:rsid w:val="008732E8"/>
    <w:rsid w:val="008732FF"/>
    <w:rsid w:val="00873328"/>
    <w:rsid w:val="0087348D"/>
    <w:rsid w:val="00873EB9"/>
    <w:rsid w:val="00874019"/>
    <w:rsid w:val="008742AF"/>
    <w:rsid w:val="0087485A"/>
    <w:rsid w:val="00874B42"/>
    <w:rsid w:val="00874D8C"/>
    <w:rsid w:val="008759AC"/>
    <w:rsid w:val="00875A2E"/>
    <w:rsid w:val="00875CD3"/>
    <w:rsid w:val="008762A2"/>
    <w:rsid w:val="00876501"/>
    <w:rsid w:val="00876BC7"/>
    <w:rsid w:val="00876EAC"/>
    <w:rsid w:val="00876FDA"/>
    <w:rsid w:val="0087753B"/>
    <w:rsid w:val="0087766F"/>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B32"/>
    <w:rsid w:val="00887CC1"/>
    <w:rsid w:val="00887D0A"/>
    <w:rsid w:val="0089049E"/>
    <w:rsid w:val="00890838"/>
    <w:rsid w:val="0089091A"/>
    <w:rsid w:val="00890BFF"/>
    <w:rsid w:val="00891463"/>
    <w:rsid w:val="00891CB9"/>
    <w:rsid w:val="00891CBC"/>
    <w:rsid w:val="00891FB0"/>
    <w:rsid w:val="0089215E"/>
    <w:rsid w:val="008924C4"/>
    <w:rsid w:val="0089267F"/>
    <w:rsid w:val="0089285A"/>
    <w:rsid w:val="00892864"/>
    <w:rsid w:val="00892A95"/>
    <w:rsid w:val="00892F57"/>
    <w:rsid w:val="00893106"/>
    <w:rsid w:val="0089310E"/>
    <w:rsid w:val="008933FC"/>
    <w:rsid w:val="008934CA"/>
    <w:rsid w:val="00893540"/>
    <w:rsid w:val="00893609"/>
    <w:rsid w:val="00893E62"/>
    <w:rsid w:val="008948B8"/>
    <w:rsid w:val="00894FB9"/>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1EF0"/>
    <w:rsid w:val="008A2952"/>
    <w:rsid w:val="008A300B"/>
    <w:rsid w:val="008A3042"/>
    <w:rsid w:val="008A31E8"/>
    <w:rsid w:val="008A31F7"/>
    <w:rsid w:val="008A31FA"/>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B1C"/>
    <w:rsid w:val="008A7031"/>
    <w:rsid w:val="008A759D"/>
    <w:rsid w:val="008A79F0"/>
    <w:rsid w:val="008A7C31"/>
    <w:rsid w:val="008B035B"/>
    <w:rsid w:val="008B044F"/>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C88"/>
    <w:rsid w:val="008B4D0A"/>
    <w:rsid w:val="008B4D8B"/>
    <w:rsid w:val="008B4FF4"/>
    <w:rsid w:val="008B5950"/>
    <w:rsid w:val="008B5BFA"/>
    <w:rsid w:val="008B61AB"/>
    <w:rsid w:val="008B6359"/>
    <w:rsid w:val="008B64BF"/>
    <w:rsid w:val="008B65D8"/>
    <w:rsid w:val="008B6F4B"/>
    <w:rsid w:val="008B7302"/>
    <w:rsid w:val="008B787B"/>
    <w:rsid w:val="008B7EEF"/>
    <w:rsid w:val="008C01E9"/>
    <w:rsid w:val="008C06D4"/>
    <w:rsid w:val="008C07EB"/>
    <w:rsid w:val="008C0821"/>
    <w:rsid w:val="008C0A56"/>
    <w:rsid w:val="008C0CF5"/>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83A"/>
    <w:rsid w:val="008C4FA6"/>
    <w:rsid w:val="008C4FB4"/>
    <w:rsid w:val="008C513F"/>
    <w:rsid w:val="008C51E3"/>
    <w:rsid w:val="008C547E"/>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72"/>
    <w:rsid w:val="008D30FD"/>
    <w:rsid w:val="008D3196"/>
    <w:rsid w:val="008D3312"/>
    <w:rsid w:val="008D3324"/>
    <w:rsid w:val="008D3406"/>
    <w:rsid w:val="008D3726"/>
    <w:rsid w:val="008D3D69"/>
    <w:rsid w:val="008D4368"/>
    <w:rsid w:val="008D4676"/>
    <w:rsid w:val="008D4A26"/>
    <w:rsid w:val="008D4D17"/>
    <w:rsid w:val="008D4DB0"/>
    <w:rsid w:val="008D53C7"/>
    <w:rsid w:val="008D53EE"/>
    <w:rsid w:val="008D5511"/>
    <w:rsid w:val="008D5930"/>
    <w:rsid w:val="008D5F36"/>
    <w:rsid w:val="008D6084"/>
    <w:rsid w:val="008D62ED"/>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5D1B"/>
    <w:rsid w:val="008E6606"/>
    <w:rsid w:val="008E6A3D"/>
    <w:rsid w:val="008E6B33"/>
    <w:rsid w:val="008E6D8A"/>
    <w:rsid w:val="008E77A1"/>
    <w:rsid w:val="008E78E9"/>
    <w:rsid w:val="008E7C9D"/>
    <w:rsid w:val="008F0236"/>
    <w:rsid w:val="008F0554"/>
    <w:rsid w:val="008F06A2"/>
    <w:rsid w:val="008F0A90"/>
    <w:rsid w:val="008F0B33"/>
    <w:rsid w:val="008F0CD7"/>
    <w:rsid w:val="008F0D5D"/>
    <w:rsid w:val="008F10CE"/>
    <w:rsid w:val="008F15EA"/>
    <w:rsid w:val="008F16D5"/>
    <w:rsid w:val="008F257C"/>
    <w:rsid w:val="008F27C7"/>
    <w:rsid w:val="008F286B"/>
    <w:rsid w:val="008F2CBA"/>
    <w:rsid w:val="008F339C"/>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C8"/>
    <w:rsid w:val="00901348"/>
    <w:rsid w:val="0090177D"/>
    <w:rsid w:val="00901A42"/>
    <w:rsid w:val="00901CD1"/>
    <w:rsid w:val="00901D90"/>
    <w:rsid w:val="009026C9"/>
    <w:rsid w:val="00902DB3"/>
    <w:rsid w:val="009031E8"/>
    <w:rsid w:val="00903B1A"/>
    <w:rsid w:val="00903D01"/>
    <w:rsid w:val="009040AA"/>
    <w:rsid w:val="00904F14"/>
    <w:rsid w:val="00905016"/>
    <w:rsid w:val="00905031"/>
    <w:rsid w:val="009052C0"/>
    <w:rsid w:val="0090567B"/>
    <w:rsid w:val="00905730"/>
    <w:rsid w:val="00905BEE"/>
    <w:rsid w:val="00906792"/>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3ED1"/>
    <w:rsid w:val="0091404D"/>
    <w:rsid w:val="009152CB"/>
    <w:rsid w:val="00915347"/>
    <w:rsid w:val="0091580F"/>
    <w:rsid w:val="009158DF"/>
    <w:rsid w:val="009159B4"/>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46"/>
    <w:rsid w:val="00922660"/>
    <w:rsid w:val="009228CE"/>
    <w:rsid w:val="00922B08"/>
    <w:rsid w:val="00922C1B"/>
    <w:rsid w:val="0092320B"/>
    <w:rsid w:val="0092372E"/>
    <w:rsid w:val="00923921"/>
    <w:rsid w:val="00923981"/>
    <w:rsid w:val="009241E5"/>
    <w:rsid w:val="009247D8"/>
    <w:rsid w:val="00924BB6"/>
    <w:rsid w:val="00924BFF"/>
    <w:rsid w:val="00924D79"/>
    <w:rsid w:val="00924DFE"/>
    <w:rsid w:val="009255EB"/>
    <w:rsid w:val="00925652"/>
    <w:rsid w:val="00925EA0"/>
    <w:rsid w:val="009260F5"/>
    <w:rsid w:val="00926150"/>
    <w:rsid w:val="00926221"/>
    <w:rsid w:val="00926340"/>
    <w:rsid w:val="00926B1B"/>
    <w:rsid w:val="00926C43"/>
    <w:rsid w:val="00927A7F"/>
    <w:rsid w:val="00927C36"/>
    <w:rsid w:val="00930297"/>
    <w:rsid w:val="00930413"/>
    <w:rsid w:val="009304ED"/>
    <w:rsid w:val="0093064D"/>
    <w:rsid w:val="009307B8"/>
    <w:rsid w:val="00930CD3"/>
    <w:rsid w:val="00931185"/>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4F3B"/>
    <w:rsid w:val="00935830"/>
    <w:rsid w:val="00935A91"/>
    <w:rsid w:val="00935C40"/>
    <w:rsid w:val="00935D9C"/>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745"/>
    <w:rsid w:val="00944072"/>
    <w:rsid w:val="009440E7"/>
    <w:rsid w:val="009445E0"/>
    <w:rsid w:val="00944F33"/>
    <w:rsid w:val="00944FA0"/>
    <w:rsid w:val="0094513E"/>
    <w:rsid w:val="0094554E"/>
    <w:rsid w:val="00945E56"/>
    <w:rsid w:val="00945EF1"/>
    <w:rsid w:val="0094690E"/>
    <w:rsid w:val="0094707D"/>
    <w:rsid w:val="009472D7"/>
    <w:rsid w:val="00947B3D"/>
    <w:rsid w:val="00947CF4"/>
    <w:rsid w:val="0095012E"/>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12"/>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A97"/>
    <w:rsid w:val="00961F8C"/>
    <w:rsid w:val="009620B0"/>
    <w:rsid w:val="009621A5"/>
    <w:rsid w:val="009623CA"/>
    <w:rsid w:val="0096287B"/>
    <w:rsid w:val="009628F7"/>
    <w:rsid w:val="00963167"/>
    <w:rsid w:val="009637FD"/>
    <w:rsid w:val="00963DD1"/>
    <w:rsid w:val="0096411E"/>
    <w:rsid w:val="0096416C"/>
    <w:rsid w:val="0096535C"/>
    <w:rsid w:val="009656E6"/>
    <w:rsid w:val="00965706"/>
    <w:rsid w:val="009658AB"/>
    <w:rsid w:val="00965BD5"/>
    <w:rsid w:val="00965C39"/>
    <w:rsid w:val="00965CE0"/>
    <w:rsid w:val="00965E31"/>
    <w:rsid w:val="009661BD"/>
    <w:rsid w:val="00966A50"/>
    <w:rsid w:val="00966CA6"/>
    <w:rsid w:val="00966ED7"/>
    <w:rsid w:val="00967322"/>
    <w:rsid w:val="00967518"/>
    <w:rsid w:val="00967ADB"/>
    <w:rsid w:val="00967CBE"/>
    <w:rsid w:val="0097010A"/>
    <w:rsid w:val="00970162"/>
    <w:rsid w:val="00970652"/>
    <w:rsid w:val="009706D4"/>
    <w:rsid w:val="00970B6A"/>
    <w:rsid w:val="00970CC4"/>
    <w:rsid w:val="00970D7B"/>
    <w:rsid w:val="00971FAA"/>
    <w:rsid w:val="0097275D"/>
    <w:rsid w:val="00972956"/>
    <w:rsid w:val="00972B1E"/>
    <w:rsid w:val="00972B40"/>
    <w:rsid w:val="00972B93"/>
    <w:rsid w:val="00972C5B"/>
    <w:rsid w:val="00972F49"/>
    <w:rsid w:val="00973680"/>
    <w:rsid w:val="00973700"/>
    <w:rsid w:val="009738F1"/>
    <w:rsid w:val="00973960"/>
    <w:rsid w:val="00973C50"/>
    <w:rsid w:val="00974840"/>
    <w:rsid w:val="0097539B"/>
    <w:rsid w:val="00975C91"/>
    <w:rsid w:val="00975D72"/>
    <w:rsid w:val="00976B89"/>
    <w:rsid w:val="00977318"/>
    <w:rsid w:val="0097757C"/>
    <w:rsid w:val="0097796E"/>
    <w:rsid w:val="00977FB6"/>
    <w:rsid w:val="0098053B"/>
    <w:rsid w:val="009807C6"/>
    <w:rsid w:val="00980ACA"/>
    <w:rsid w:val="00980F14"/>
    <w:rsid w:val="0098125C"/>
    <w:rsid w:val="0098146B"/>
    <w:rsid w:val="00981877"/>
    <w:rsid w:val="00981DA7"/>
    <w:rsid w:val="0098258E"/>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6F51"/>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106"/>
    <w:rsid w:val="00993756"/>
    <w:rsid w:val="00993ACA"/>
    <w:rsid w:val="00993DAE"/>
    <w:rsid w:val="009942BA"/>
    <w:rsid w:val="0099462D"/>
    <w:rsid w:val="00994EAF"/>
    <w:rsid w:val="00995139"/>
    <w:rsid w:val="009953FE"/>
    <w:rsid w:val="00995554"/>
    <w:rsid w:val="009959E3"/>
    <w:rsid w:val="0099603B"/>
    <w:rsid w:val="0099632B"/>
    <w:rsid w:val="0099633F"/>
    <w:rsid w:val="00996446"/>
    <w:rsid w:val="00996FB0"/>
    <w:rsid w:val="00997040"/>
    <w:rsid w:val="0099721E"/>
    <w:rsid w:val="00997271"/>
    <w:rsid w:val="00997461"/>
    <w:rsid w:val="00997A4A"/>
    <w:rsid w:val="009A0324"/>
    <w:rsid w:val="009A0B18"/>
    <w:rsid w:val="009A0B30"/>
    <w:rsid w:val="009A0B77"/>
    <w:rsid w:val="009A0FBA"/>
    <w:rsid w:val="009A11F7"/>
    <w:rsid w:val="009A1781"/>
    <w:rsid w:val="009A1DFB"/>
    <w:rsid w:val="009A1E37"/>
    <w:rsid w:val="009A2131"/>
    <w:rsid w:val="009A2153"/>
    <w:rsid w:val="009A2189"/>
    <w:rsid w:val="009A228A"/>
    <w:rsid w:val="009A253C"/>
    <w:rsid w:val="009A2627"/>
    <w:rsid w:val="009A28F9"/>
    <w:rsid w:val="009A2E7A"/>
    <w:rsid w:val="009A2F7F"/>
    <w:rsid w:val="009A347B"/>
    <w:rsid w:val="009A39B3"/>
    <w:rsid w:val="009A3A46"/>
    <w:rsid w:val="009A4302"/>
    <w:rsid w:val="009A4FA3"/>
    <w:rsid w:val="009A5178"/>
    <w:rsid w:val="009A5451"/>
    <w:rsid w:val="009A5D79"/>
    <w:rsid w:val="009A608A"/>
    <w:rsid w:val="009A62E0"/>
    <w:rsid w:val="009A6354"/>
    <w:rsid w:val="009A64BF"/>
    <w:rsid w:val="009A69D0"/>
    <w:rsid w:val="009A6BD5"/>
    <w:rsid w:val="009A6BEE"/>
    <w:rsid w:val="009A6DE2"/>
    <w:rsid w:val="009A6E4C"/>
    <w:rsid w:val="009A74C3"/>
    <w:rsid w:val="009A7D1C"/>
    <w:rsid w:val="009B0580"/>
    <w:rsid w:val="009B0701"/>
    <w:rsid w:val="009B0714"/>
    <w:rsid w:val="009B0BD2"/>
    <w:rsid w:val="009B0ED2"/>
    <w:rsid w:val="009B0F6A"/>
    <w:rsid w:val="009B129D"/>
    <w:rsid w:val="009B1335"/>
    <w:rsid w:val="009B14D7"/>
    <w:rsid w:val="009B1665"/>
    <w:rsid w:val="009B18A0"/>
    <w:rsid w:val="009B241F"/>
    <w:rsid w:val="009B248F"/>
    <w:rsid w:val="009B27B5"/>
    <w:rsid w:val="009B2A7C"/>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36B"/>
    <w:rsid w:val="009C256D"/>
    <w:rsid w:val="009C3555"/>
    <w:rsid w:val="009C3562"/>
    <w:rsid w:val="009C379A"/>
    <w:rsid w:val="009C37C7"/>
    <w:rsid w:val="009C38A5"/>
    <w:rsid w:val="009C3936"/>
    <w:rsid w:val="009C3B7F"/>
    <w:rsid w:val="009C473C"/>
    <w:rsid w:val="009C4755"/>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51"/>
    <w:rsid w:val="009D53C5"/>
    <w:rsid w:val="009D5AA8"/>
    <w:rsid w:val="009D5EB2"/>
    <w:rsid w:val="009D691C"/>
    <w:rsid w:val="009D6B60"/>
    <w:rsid w:val="009D6F6C"/>
    <w:rsid w:val="009D756C"/>
    <w:rsid w:val="009D7C0D"/>
    <w:rsid w:val="009D7D08"/>
    <w:rsid w:val="009E05E2"/>
    <w:rsid w:val="009E0623"/>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5BF"/>
    <w:rsid w:val="009E6606"/>
    <w:rsid w:val="009E681A"/>
    <w:rsid w:val="009E6953"/>
    <w:rsid w:val="009E6B76"/>
    <w:rsid w:val="009E6F56"/>
    <w:rsid w:val="009E6F7C"/>
    <w:rsid w:val="009E7150"/>
    <w:rsid w:val="009E765C"/>
    <w:rsid w:val="009E76AC"/>
    <w:rsid w:val="009E775C"/>
    <w:rsid w:val="009E77D2"/>
    <w:rsid w:val="009F0818"/>
    <w:rsid w:val="009F08E5"/>
    <w:rsid w:val="009F0F39"/>
    <w:rsid w:val="009F1136"/>
    <w:rsid w:val="009F12E1"/>
    <w:rsid w:val="009F1401"/>
    <w:rsid w:val="009F1416"/>
    <w:rsid w:val="009F1986"/>
    <w:rsid w:val="009F20AA"/>
    <w:rsid w:val="009F24FC"/>
    <w:rsid w:val="009F26D5"/>
    <w:rsid w:val="009F26F4"/>
    <w:rsid w:val="009F28C7"/>
    <w:rsid w:val="009F2912"/>
    <w:rsid w:val="009F2F37"/>
    <w:rsid w:val="009F30F1"/>
    <w:rsid w:val="009F3538"/>
    <w:rsid w:val="009F36F0"/>
    <w:rsid w:val="009F3846"/>
    <w:rsid w:val="009F3EBC"/>
    <w:rsid w:val="009F40DE"/>
    <w:rsid w:val="009F4174"/>
    <w:rsid w:val="009F4633"/>
    <w:rsid w:val="009F4EA8"/>
    <w:rsid w:val="009F53CA"/>
    <w:rsid w:val="009F55AF"/>
    <w:rsid w:val="009F5AD9"/>
    <w:rsid w:val="009F5CF0"/>
    <w:rsid w:val="009F5E97"/>
    <w:rsid w:val="009F61A9"/>
    <w:rsid w:val="009F650C"/>
    <w:rsid w:val="009F68BB"/>
    <w:rsid w:val="009F6BAE"/>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71"/>
    <w:rsid w:val="00A13280"/>
    <w:rsid w:val="00A13568"/>
    <w:rsid w:val="00A139AC"/>
    <w:rsid w:val="00A13CE0"/>
    <w:rsid w:val="00A1416B"/>
    <w:rsid w:val="00A1431F"/>
    <w:rsid w:val="00A14B4E"/>
    <w:rsid w:val="00A14C73"/>
    <w:rsid w:val="00A15676"/>
    <w:rsid w:val="00A159CE"/>
    <w:rsid w:val="00A16110"/>
    <w:rsid w:val="00A16239"/>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608"/>
    <w:rsid w:val="00A229D0"/>
    <w:rsid w:val="00A22B57"/>
    <w:rsid w:val="00A232F4"/>
    <w:rsid w:val="00A23383"/>
    <w:rsid w:val="00A2342A"/>
    <w:rsid w:val="00A2376F"/>
    <w:rsid w:val="00A2431B"/>
    <w:rsid w:val="00A246E5"/>
    <w:rsid w:val="00A2472D"/>
    <w:rsid w:val="00A247FD"/>
    <w:rsid w:val="00A24900"/>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28E"/>
    <w:rsid w:val="00A27543"/>
    <w:rsid w:val="00A275DF"/>
    <w:rsid w:val="00A278A4"/>
    <w:rsid w:val="00A27A41"/>
    <w:rsid w:val="00A3009A"/>
    <w:rsid w:val="00A3084E"/>
    <w:rsid w:val="00A30995"/>
    <w:rsid w:val="00A30ABB"/>
    <w:rsid w:val="00A30E97"/>
    <w:rsid w:val="00A311E7"/>
    <w:rsid w:val="00A3137B"/>
    <w:rsid w:val="00A31534"/>
    <w:rsid w:val="00A31BA7"/>
    <w:rsid w:val="00A31DAF"/>
    <w:rsid w:val="00A31FF7"/>
    <w:rsid w:val="00A32100"/>
    <w:rsid w:val="00A32357"/>
    <w:rsid w:val="00A324D5"/>
    <w:rsid w:val="00A3254C"/>
    <w:rsid w:val="00A3275F"/>
    <w:rsid w:val="00A3277A"/>
    <w:rsid w:val="00A330A3"/>
    <w:rsid w:val="00A33AF9"/>
    <w:rsid w:val="00A33B2D"/>
    <w:rsid w:val="00A33BC4"/>
    <w:rsid w:val="00A33F26"/>
    <w:rsid w:val="00A3438C"/>
    <w:rsid w:val="00A34864"/>
    <w:rsid w:val="00A348E4"/>
    <w:rsid w:val="00A357B2"/>
    <w:rsid w:val="00A357C3"/>
    <w:rsid w:val="00A359E3"/>
    <w:rsid w:val="00A35B40"/>
    <w:rsid w:val="00A35B83"/>
    <w:rsid w:val="00A35C07"/>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B9A"/>
    <w:rsid w:val="00A440D7"/>
    <w:rsid w:val="00A44135"/>
    <w:rsid w:val="00A4454A"/>
    <w:rsid w:val="00A44B1D"/>
    <w:rsid w:val="00A44E9B"/>
    <w:rsid w:val="00A45099"/>
    <w:rsid w:val="00A45858"/>
    <w:rsid w:val="00A45D29"/>
    <w:rsid w:val="00A45EA1"/>
    <w:rsid w:val="00A45FF5"/>
    <w:rsid w:val="00A4684E"/>
    <w:rsid w:val="00A46CA7"/>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A1D"/>
    <w:rsid w:val="00A61B2C"/>
    <w:rsid w:val="00A61B81"/>
    <w:rsid w:val="00A61DDD"/>
    <w:rsid w:val="00A62811"/>
    <w:rsid w:val="00A62870"/>
    <w:rsid w:val="00A62F5C"/>
    <w:rsid w:val="00A631C8"/>
    <w:rsid w:val="00A63574"/>
    <w:rsid w:val="00A63E8C"/>
    <w:rsid w:val="00A63EEE"/>
    <w:rsid w:val="00A63FF6"/>
    <w:rsid w:val="00A64417"/>
    <w:rsid w:val="00A64C9F"/>
    <w:rsid w:val="00A653F3"/>
    <w:rsid w:val="00A665C7"/>
    <w:rsid w:val="00A66C93"/>
    <w:rsid w:val="00A66EC8"/>
    <w:rsid w:val="00A66EEC"/>
    <w:rsid w:val="00A66F00"/>
    <w:rsid w:val="00A67702"/>
    <w:rsid w:val="00A67DAF"/>
    <w:rsid w:val="00A67E3F"/>
    <w:rsid w:val="00A70ECB"/>
    <w:rsid w:val="00A70F74"/>
    <w:rsid w:val="00A712F7"/>
    <w:rsid w:val="00A7140F"/>
    <w:rsid w:val="00A71437"/>
    <w:rsid w:val="00A7150B"/>
    <w:rsid w:val="00A716D4"/>
    <w:rsid w:val="00A7235A"/>
    <w:rsid w:val="00A72531"/>
    <w:rsid w:val="00A7303D"/>
    <w:rsid w:val="00A73291"/>
    <w:rsid w:val="00A7334C"/>
    <w:rsid w:val="00A73467"/>
    <w:rsid w:val="00A73809"/>
    <w:rsid w:val="00A73A1E"/>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20"/>
    <w:rsid w:val="00A775A3"/>
    <w:rsid w:val="00A77C0D"/>
    <w:rsid w:val="00A77FED"/>
    <w:rsid w:val="00A8050C"/>
    <w:rsid w:val="00A80817"/>
    <w:rsid w:val="00A809BE"/>
    <w:rsid w:val="00A80B1C"/>
    <w:rsid w:val="00A80B96"/>
    <w:rsid w:val="00A80E34"/>
    <w:rsid w:val="00A818C4"/>
    <w:rsid w:val="00A81BF1"/>
    <w:rsid w:val="00A822B2"/>
    <w:rsid w:val="00A8262B"/>
    <w:rsid w:val="00A82E32"/>
    <w:rsid w:val="00A82E84"/>
    <w:rsid w:val="00A82F58"/>
    <w:rsid w:val="00A83517"/>
    <w:rsid w:val="00A8379A"/>
    <w:rsid w:val="00A842B9"/>
    <w:rsid w:val="00A84362"/>
    <w:rsid w:val="00A84AB7"/>
    <w:rsid w:val="00A84FBB"/>
    <w:rsid w:val="00A85143"/>
    <w:rsid w:val="00A85F86"/>
    <w:rsid w:val="00A86220"/>
    <w:rsid w:val="00A86289"/>
    <w:rsid w:val="00A8674C"/>
    <w:rsid w:val="00A86B00"/>
    <w:rsid w:val="00A86C7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3C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718"/>
    <w:rsid w:val="00AA4A49"/>
    <w:rsid w:val="00AA4BE4"/>
    <w:rsid w:val="00AA5326"/>
    <w:rsid w:val="00AA58B9"/>
    <w:rsid w:val="00AA63C9"/>
    <w:rsid w:val="00AA677F"/>
    <w:rsid w:val="00AA68B3"/>
    <w:rsid w:val="00AA6991"/>
    <w:rsid w:val="00AA6C49"/>
    <w:rsid w:val="00AA6C65"/>
    <w:rsid w:val="00AA741E"/>
    <w:rsid w:val="00AA7C65"/>
    <w:rsid w:val="00AA7D10"/>
    <w:rsid w:val="00AB14B9"/>
    <w:rsid w:val="00AB15B4"/>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8B"/>
    <w:rsid w:val="00AB5AAB"/>
    <w:rsid w:val="00AB5BFC"/>
    <w:rsid w:val="00AB5C7E"/>
    <w:rsid w:val="00AB60B0"/>
    <w:rsid w:val="00AB62DB"/>
    <w:rsid w:val="00AB644B"/>
    <w:rsid w:val="00AB6775"/>
    <w:rsid w:val="00AB75FC"/>
    <w:rsid w:val="00AB780B"/>
    <w:rsid w:val="00AB7F96"/>
    <w:rsid w:val="00AC0148"/>
    <w:rsid w:val="00AC0287"/>
    <w:rsid w:val="00AC0A16"/>
    <w:rsid w:val="00AC138D"/>
    <w:rsid w:val="00AC17A3"/>
    <w:rsid w:val="00AC19F7"/>
    <w:rsid w:val="00AC1FFA"/>
    <w:rsid w:val="00AC20CF"/>
    <w:rsid w:val="00AC22F9"/>
    <w:rsid w:val="00AC28FE"/>
    <w:rsid w:val="00AC297B"/>
    <w:rsid w:val="00AC336A"/>
    <w:rsid w:val="00AC3575"/>
    <w:rsid w:val="00AC3862"/>
    <w:rsid w:val="00AC4123"/>
    <w:rsid w:val="00AC451A"/>
    <w:rsid w:val="00AC478F"/>
    <w:rsid w:val="00AC4BE7"/>
    <w:rsid w:val="00AC4C2C"/>
    <w:rsid w:val="00AC4DE1"/>
    <w:rsid w:val="00AC4ECE"/>
    <w:rsid w:val="00AC537D"/>
    <w:rsid w:val="00AC552C"/>
    <w:rsid w:val="00AC5B6A"/>
    <w:rsid w:val="00AC652C"/>
    <w:rsid w:val="00AC6554"/>
    <w:rsid w:val="00AC68D7"/>
    <w:rsid w:val="00AC6B78"/>
    <w:rsid w:val="00AC6D0B"/>
    <w:rsid w:val="00AC6D19"/>
    <w:rsid w:val="00AC6E3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2F7"/>
    <w:rsid w:val="00AD33BC"/>
    <w:rsid w:val="00AD391C"/>
    <w:rsid w:val="00AD49FA"/>
    <w:rsid w:val="00AD4A41"/>
    <w:rsid w:val="00AD4C26"/>
    <w:rsid w:val="00AD5158"/>
    <w:rsid w:val="00AD52BD"/>
    <w:rsid w:val="00AD5DB5"/>
    <w:rsid w:val="00AD67D6"/>
    <w:rsid w:val="00AD6B3E"/>
    <w:rsid w:val="00AD70E2"/>
    <w:rsid w:val="00AD7588"/>
    <w:rsid w:val="00AD7813"/>
    <w:rsid w:val="00AD7C28"/>
    <w:rsid w:val="00AD7C88"/>
    <w:rsid w:val="00AE0962"/>
    <w:rsid w:val="00AE0A91"/>
    <w:rsid w:val="00AE0BC3"/>
    <w:rsid w:val="00AE0FCB"/>
    <w:rsid w:val="00AE188E"/>
    <w:rsid w:val="00AE1B7D"/>
    <w:rsid w:val="00AE1C38"/>
    <w:rsid w:val="00AE2822"/>
    <w:rsid w:val="00AE2C29"/>
    <w:rsid w:val="00AE2FBA"/>
    <w:rsid w:val="00AE3242"/>
    <w:rsid w:val="00AE3298"/>
    <w:rsid w:val="00AE36B4"/>
    <w:rsid w:val="00AE382A"/>
    <w:rsid w:val="00AE38F7"/>
    <w:rsid w:val="00AE3CF0"/>
    <w:rsid w:val="00AE3F0B"/>
    <w:rsid w:val="00AE4098"/>
    <w:rsid w:val="00AE4226"/>
    <w:rsid w:val="00AE44C6"/>
    <w:rsid w:val="00AE4CD3"/>
    <w:rsid w:val="00AE4F2B"/>
    <w:rsid w:val="00AE51CD"/>
    <w:rsid w:val="00AE53B1"/>
    <w:rsid w:val="00AE5417"/>
    <w:rsid w:val="00AE5A7C"/>
    <w:rsid w:val="00AE6090"/>
    <w:rsid w:val="00AE6236"/>
    <w:rsid w:val="00AE6583"/>
    <w:rsid w:val="00AE6630"/>
    <w:rsid w:val="00AE6724"/>
    <w:rsid w:val="00AE6BCD"/>
    <w:rsid w:val="00AE710C"/>
    <w:rsid w:val="00AE7375"/>
    <w:rsid w:val="00AE76F3"/>
    <w:rsid w:val="00AE779C"/>
    <w:rsid w:val="00AE77D6"/>
    <w:rsid w:val="00AE7DE8"/>
    <w:rsid w:val="00AF0002"/>
    <w:rsid w:val="00AF0481"/>
    <w:rsid w:val="00AF0AEB"/>
    <w:rsid w:val="00AF0C58"/>
    <w:rsid w:val="00AF1079"/>
    <w:rsid w:val="00AF17D4"/>
    <w:rsid w:val="00AF18BF"/>
    <w:rsid w:val="00AF1D5E"/>
    <w:rsid w:val="00AF203B"/>
    <w:rsid w:val="00AF2484"/>
    <w:rsid w:val="00AF2BC0"/>
    <w:rsid w:val="00AF3C95"/>
    <w:rsid w:val="00AF49EA"/>
    <w:rsid w:val="00AF4F20"/>
    <w:rsid w:val="00AF4F66"/>
    <w:rsid w:val="00AF5614"/>
    <w:rsid w:val="00AF5647"/>
    <w:rsid w:val="00AF56B7"/>
    <w:rsid w:val="00AF5AFE"/>
    <w:rsid w:val="00AF625D"/>
    <w:rsid w:val="00AF666D"/>
    <w:rsid w:val="00AF6804"/>
    <w:rsid w:val="00AF6AA5"/>
    <w:rsid w:val="00AF6AB0"/>
    <w:rsid w:val="00AF6DE2"/>
    <w:rsid w:val="00AF7210"/>
    <w:rsid w:val="00AF72E1"/>
    <w:rsid w:val="00AF7582"/>
    <w:rsid w:val="00AF7C79"/>
    <w:rsid w:val="00B00433"/>
    <w:rsid w:val="00B0085C"/>
    <w:rsid w:val="00B00AFA"/>
    <w:rsid w:val="00B017D8"/>
    <w:rsid w:val="00B01A56"/>
    <w:rsid w:val="00B01C64"/>
    <w:rsid w:val="00B01E19"/>
    <w:rsid w:val="00B01E99"/>
    <w:rsid w:val="00B02271"/>
    <w:rsid w:val="00B025A5"/>
    <w:rsid w:val="00B03365"/>
    <w:rsid w:val="00B0383E"/>
    <w:rsid w:val="00B03852"/>
    <w:rsid w:val="00B03B76"/>
    <w:rsid w:val="00B03C53"/>
    <w:rsid w:val="00B03D71"/>
    <w:rsid w:val="00B04E88"/>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758"/>
    <w:rsid w:val="00B11876"/>
    <w:rsid w:val="00B120C0"/>
    <w:rsid w:val="00B124BB"/>
    <w:rsid w:val="00B12647"/>
    <w:rsid w:val="00B1287F"/>
    <w:rsid w:val="00B12922"/>
    <w:rsid w:val="00B12BBF"/>
    <w:rsid w:val="00B12F5A"/>
    <w:rsid w:val="00B1392B"/>
    <w:rsid w:val="00B13AF4"/>
    <w:rsid w:val="00B13F63"/>
    <w:rsid w:val="00B14196"/>
    <w:rsid w:val="00B1457A"/>
    <w:rsid w:val="00B1487F"/>
    <w:rsid w:val="00B14921"/>
    <w:rsid w:val="00B14E23"/>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95"/>
    <w:rsid w:val="00B20DA0"/>
    <w:rsid w:val="00B20DB6"/>
    <w:rsid w:val="00B21420"/>
    <w:rsid w:val="00B21455"/>
    <w:rsid w:val="00B2149A"/>
    <w:rsid w:val="00B2158E"/>
    <w:rsid w:val="00B217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C91"/>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AD0"/>
    <w:rsid w:val="00B30B20"/>
    <w:rsid w:val="00B30EA5"/>
    <w:rsid w:val="00B30ED2"/>
    <w:rsid w:val="00B314D1"/>
    <w:rsid w:val="00B31748"/>
    <w:rsid w:val="00B31C36"/>
    <w:rsid w:val="00B31D68"/>
    <w:rsid w:val="00B31F3C"/>
    <w:rsid w:val="00B32C2F"/>
    <w:rsid w:val="00B33139"/>
    <w:rsid w:val="00B336C5"/>
    <w:rsid w:val="00B33B3A"/>
    <w:rsid w:val="00B33D84"/>
    <w:rsid w:val="00B34227"/>
    <w:rsid w:val="00B3429A"/>
    <w:rsid w:val="00B3450B"/>
    <w:rsid w:val="00B34C8F"/>
    <w:rsid w:val="00B35211"/>
    <w:rsid w:val="00B353BF"/>
    <w:rsid w:val="00B35C30"/>
    <w:rsid w:val="00B36423"/>
    <w:rsid w:val="00B3655F"/>
    <w:rsid w:val="00B36620"/>
    <w:rsid w:val="00B36FC7"/>
    <w:rsid w:val="00B37033"/>
    <w:rsid w:val="00B370F3"/>
    <w:rsid w:val="00B371D6"/>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7EC"/>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595"/>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478"/>
    <w:rsid w:val="00B64CD9"/>
    <w:rsid w:val="00B65160"/>
    <w:rsid w:val="00B6549C"/>
    <w:rsid w:val="00B6553F"/>
    <w:rsid w:val="00B6561B"/>
    <w:rsid w:val="00B6566B"/>
    <w:rsid w:val="00B65C8D"/>
    <w:rsid w:val="00B65DA8"/>
    <w:rsid w:val="00B65EFE"/>
    <w:rsid w:val="00B65FC4"/>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1E1"/>
    <w:rsid w:val="00B76499"/>
    <w:rsid w:val="00B765CC"/>
    <w:rsid w:val="00B769C9"/>
    <w:rsid w:val="00B76A62"/>
    <w:rsid w:val="00B76FAE"/>
    <w:rsid w:val="00B7732A"/>
    <w:rsid w:val="00B77603"/>
    <w:rsid w:val="00B77B59"/>
    <w:rsid w:val="00B77C75"/>
    <w:rsid w:val="00B77F09"/>
    <w:rsid w:val="00B8027E"/>
    <w:rsid w:val="00B80545"/>
    <w:rsid w:val="00B80BE4"/>
    <w:rsid w:val="00B80CD3"/>
    <w:rsid w:val="00B80F4D"/>
    <w:rsid w:val="00B81AA9"/>
    <w:rsid w:val="00B81EC8"/>
    <w:rsid w:val="00B82061"/>
    <w:rsid w:val="00B8243C"/>
    <w:rsid w:val="00B8248A"/>
    <w:rsid w:val="00B82664"/>
    <w:rsid w:val="00B82A0A"/>
    <w:rsid w:val="00B82EA0"/>
    <w:rsid w:val="00B83024"/>
    <w:rsid w:val="00B836F9"/>
    <w:rsid w:val="00B83743"/>
    <w:rsid w:val="00B8374F"/>
    <w:rsid w:val="00B83BCF"/>
    <w:rsid w:val="00B83E0A"/>
    <w:rsid w:val="00B84996"/>
    <w:rsid w:val="00B84C68"/>
    <w:rsid w:val="00B8504C"/>
    <w:rsid w:val="00B862EF"/>
    <w:rsid w:val="00B86500"/>
    <w:rsid w:val="00B8691D"/>
    <w:rsid w:val="00B86A87"/>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88B"/>
    <w:rsid w:val="00B93B79"/>
    <w:rsid w:val="00B93FEB"/>
    <w:rsid w:val="00B942BD"/>
    <w:rsid w:val="00B94515"/>
    <w:rsid w:val="00B94A33"/>
    <w:rsid w:val="00B94AD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1655"/>
    <w:rsid w:val="00BA269A"/>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8B3"/>
    <w:rsid w:val="00BA7B4C"/>
    <w:rsid w:val="00BB03B6"/>
    <w:rsid w:val="00BB06D7"/>
    <w:rsid w:val="00BB09F9"/>
    <w:rsid w:val="00BB122A"/>
    <w:rsid w:val="00BB1304"/>
    <w:rsid w:val="00BB15B8"/>
    <w:rsid w:val="00BB1A2D"/>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06D"/>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2F40"/>
    <w:rsid w:val="00BC3C04"/>
    <w:rsid w:val="00BC3F46"/>
    <w:rsid w:val="00BC4020"/>
    <w:rsid w:val="00BC47F7"/>
    <w:rsid w:val="00BC49CD"/>
    <w:rsid w:val="00BC5478"/>
    <w:rsid w:val="00BC54EF"/>
    <w:rsid w:val="00BC5557"/>
    <w:rsid w:val="00BC559A"/>
    <w:rsid w:val="00BC5780"/>
    <w:rsid w:val="00BC5D9E"/>
    <w:rsid w:val="00BC5DE5"/>
    <w:rsid w:val="00BC5DFA"/>
    <w:rsid w:val="00BC5E39"/>
    <w:rsid w:val="00BC5EC4"/>
    <w:rsid w:val="00BC62E3"/>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84"/>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A9D"/>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8E7"/>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CFD"/>
    <w:rsid w:val="00BE6DFC"/>
    <w:rsid w:val="00BE7094"/>
    <w:rsid w:val="00BE7160"/>
    <w:rsid w:val="00BE7455"/>
    <w:rsid w:val="00BE764D"/>
    <w:rsid w:val="00BE780B"/>
    <w:rsid w:val="00BE7B3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92F"/>
    <w:rsid w:val="00BF5D87"/>
    <w:rsid w:val="00BF5E1E"/>
    <w:rsid w:val="00BF5ECF"/>
    <w:rsid w:val="00BF65CD"/>
    <w:rsid w:val="00BF6E39"/>
    <w:rsid w:val="00BF730C"/>
    <w:rsid w:val="00BF759E"/>
    <w:rsid w:val="00BF7706"/>
    <w:rsid w:val="00BF7E75"/>
    <w:rsid w:val="00BF7F62"/>
    <w:rsid w:val="00C00A4F"/>
    <w:rsid w:val="00C01033"/>
    <w:rsid w:val="00C012F5"/>
    <w:rsid w:val="00C014C4"/>
    <w:rsid w:val="00C017CE"/>
    <w:rsid w:val="00C01980"/>
    <w:rsid w:val="00C01B0B"/>
    <w:rsid w:val="00C02627"/>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BE0"/>
    <w:rsid w:val="00C07EB0"/>
    <w:rsid w:val="00C07EFB"/>
    <w:rsid w:val="00C07F68"/>
    <w:rsid w:val="00C101EC"/>
    <w:rsid w:val="00C10568"/>
    <w:rsid w:val="00C1061F"/>
    <w:rsid w:val="00C1090A"/>
    <w:rsid w:val="00C109A6"/>
    <w:rsid w:val="00C11023"/>
    <w:rsid w:val="00C11036"/>
    <w:rsid w:val="00C111ED"/>
    <w:rsid w:val="00C11813"/>
    <w:rsid w:val="00C12492"/>
    <w:rsid w:val="00C12DE9"/>
    <w:rsid w:val="00C1322C"/>
    <w:rsid w:val="00C132C8"/>
    <w:rsid w:val="00C1346B"/>
    <w:rsid w:val="00C134BA"/>
    <w:rsid w:val="00C136AC"/>
    <w:rsid w:val="00C140F7"/>
    <w:rsid w:val="00C14361"/>
    <w:rsid w:val="00C14669"/>
    <w:rsid w:val="00C146B2"/>
    <w:rsid w:val="00C14DD9"/>
    <w:rsid w:val="00C150EB"/>
    <w:rsid w:val="00C1526E"/>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368"/>
    <w:rsid w:val="00C25432"/>
    <w:rsid w:val="00C25749"/>
    <w:rsid w:val="00C25915"/>
    <w:rsid w:val="00C25B9A"/>
    <w:rsid w:val="00C25C9E"/>
    <w:rsid w:val="00C25FC0"/>
    <w:rsid w:val="00C2602A"/>
    <w:rsid w:val="00C26C8E"/>
    <w:rsid w:val="00C270CC"/>
    <w:rsid w:val="00C2728B"/>
    <w:rsid w:val="00C272C4"/>
    <w:rsid w:val="00C27473"/>
    <w:rsid w:val="00C30165"/>
    <w:rsid w:val="00C307B6"/>
    <w:rsid w:val="00C30987"/>
    <w:rsid w:val="00C30AFA"/>
    <w:rsid w:val="00C30B58"/>
    <w:rsid w:val="00C30D8E"/>
    <w:rsid w:val="00C30DEB"/>
    <w:rsid w:val="00C30E89"/>
    <w:rsid w:val="00C31358"/>
    <w:rsid w:val="00C31439"/>
    <w:rsid w:val="00C31C12"/>
    <w:rsid w:val="00C31E6E"/>
    <w:rsid w:val="00C324FF"/>
    <w:rsid w:val="00C325C9"/>
    <w:rsid w:val="00C32704"/>
    <w:rsid w:val="00C32969"/>
    <w:rsid w:val="00C32A12"/>
    <w:rsid w:val="00C32AF1"/>
    <w:rsid w:val="00C3322C"/>
    <w:rsid w:val="00C3344C"/>
    <w:rsid w:val="00C345FB"/>
    <w:rsid w:val="00C34A5D"/>
    <w:rsid w:val="00C34D97"/>
    <w:rsid w:val="00C34EAD"/>
    <w:rsid w:val="00C34F0D"/>
    <w:rsid w:val="00C3507E"/>
    <w:rsid w:val="00C35370"/>
    <w:rsid w:val="00C359E1"/>
    <w:rsid w:val="00C35AC0"/>
    <w:rsid w:val="00C35BCB"/>
    <w:rsid w:val="00C35FAE"/>
    <w:rsid w:val="00C362EF"/>
    <w:rsid w:val="00C365CC"/>
    <w:rsid w:val="00C36605"/>
    <w:rsid w:val="00C36B01"/>
    <w:rsid w:val="00C36BCF"/>
    <w:rsid w:val="00C36C82"/>
    <w:rsid w:val="00C37BB6"/>
    <w:rsid w:val="00C37D0B"/>
    <w:rsid w:val="00C37DBE"/>
    <w:rsid w:val="00C40122"/>
    <w:rsid w:val="00C40160"/>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88E"/>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45D"/>
    <w:rsid w:val="00C60670"/>
    <w:rsid w:val="00C60737"/>
    <w:rsid w:val="00C60A3B"/>
    <w:rsid w:val="00C61126"/>
    <w:rsid w:val="00C61257"/>
    <w:rsid w:val="00C6136E"/>
    <w:rsid w:val="00C61427"/>
    <w:rsid w:val="00C617D8"/>
    <w:rsid w:val="00C61968"/>
    <w:rsid w:val="00C61B60"/>
    <w:rsid w:val="00C62C66"/>
    <w:rsid w:val="00C6361D"/>
    <w:rsid w:val="00C63817"/>
    <w:rsid w:val="00C63B82"/>
    <w:rsid w:val="00C63B87"/>
    <w:rsid w:val="00C63BB3"/>
    <w:rsid w:val="00C63C0B"/>
    <w:rsid w:val="00C6414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A1"/>
    <w:rsid w:val="00C70FF3"/>
    <w:rsid w:val="00C715E0"/>
    <w:rsid w:val="00C72389"/>
    <w:rsid w:val="00C72D39"/>
    <w:rsid w:val="00C72E75"/>
    <w:rsid w:val="00C734A5"/>
    <w:rsid w:val="00C7376F"/>
    <w:rsid w:val="00C73B96"/>
    <w:rsid w:val="00C73C80"/>
    <w:rsid w:val="00C73DC6"/>
    <w:rsid w:val="00C73FD8"/>
    <w:rsid w:val="00C74963"/>
    <w:rsid w:val="00C74A5B"/>
    <w:rsid w:val="00C74D6F"/>
    <w:rsid w:val="00C74F0C"/>
    <w:rsid w:val="00C74F1F"/>
    <w:rsid w:val="00C756C4"/>
    <w:rsid w:val="00C75A98"/>
    <w:rsid w:val="00C75B01"/>
    <w:rsid w:val="00C75BFB"/>
    <w:rsid w:val="00C75E0F"/>
    <w:rsid w:val="00C7618A"/>
    <w:rsid w:val="00C76228"/>
    <w:rsid w:val="00C762BE"/>
    <w:rsid w:val="00C763B6"/>
    <w:rsid w:val="00C7658F"/>
    <w:rsid w:val="00C765D7"/>
    <w:rsid w:val="00C766E2"/>
    <w:rsid w:val="00C768DA"/>
    <w:rsid w:val="00C77B9A"/>
    <w:rsid w:val="00C80C33"/>
    <w:rsid w:val="00C80F2F"/>
    <w:rsid w:val="00C82E93"/>
    <w:rsid w:val="00C8378D"/>
    <w:rsid w:val="00C83B22"/>
    <w:rsid w:val="00C845B7"/>
    <w:rsid w:val="00C858A1"/>
    <w:rsid w:val="00C85DD4"/>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672"/>
    <w:rsid w:val="00C92C19"/>
    <w:rsid w:val="00C9345A"/>
    <w:rsid w:val="00C935B8"/>
    <w:rsid w:val="00C93AA0"/>
    <w:rsid w:val="00C94090"/>
    <w:rsid w:val="00C942E4"/>
    <w:rsid w:val="00C94437"/>
    <w:rsid w:val="00C949F5"/>
    <w:rsid w:val="00C94FBE"/>
    <w:rsid w:val="00C95433"/>
    <w:rsid w:val="00C95448"/>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EF4"/>
    <w:rsid w:val="00CA2FBC"/>
    <w:rsid w:val="00CA3229"/>
    <w:rsid w:val="00CA34F9"/>
    <w:rsid w:val="00CA365E"/>
    <w:rsid w:val="00CA4545"/>
    <w:rsid w:val="00CA4884"/>
    <w:rsid w:val="00CA59B8"/>
    <w:rsid w:val="00CA6653"/>
    <w:rsid w:val="00CA6ADC"/>
    <w:rsid w:val="00CA6EE9"/>
    <w:rsid w:val="00CA70BD"/>
    <w:rsid w:val="00CA7624"/>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3D8"/>
    <w:rsid w:val="00CC18C6"/>
    <w:rsid w:val="00CC1AFD"/>
    <w:rsid w:val="00CC24B4"/>
    <w:rsid w:val="00CC29B3"/>
    <w:rsid w:val="00CC2BDE"/>
    <w:rsid w:val="00CC2F9B"/>
    <w:rsid w:val="00CC31EC"/>
    <w:rsid w:val="00CC38BA"/>
    <w:rsid w:val="00CC3CB9"/>
    <w:rsid w:val="00CC3CFB"/>
    <w:rsid w:val="00CC43B2"/>
    <w:rsid w:val="00CC4D9D"/>
    <w:rsid w:val="00CC4F39"/>
    <w:rsid w:val="00CC54F6"/>
    <w:rsid w:val="00CC5A45"/>
    <w:rsid w:val="00CC5BE8"/>
    <w:rsid w:val="00CC64B4"/>
    <w:rsid w:val="00CC65DB"/>
    <w:rsid w:val="00CC673D"/>
    <w:rsid w:val="00CC67D4"/>
    <w:rsid w:val="00CC6E76"/>
    <w:rsid w:val="00CC731B"/>
    <w:rsid w:val="00CC7676"/>
    <w:rsid w:val="00CC7832"/>
    <w:rsid w:val="00CC7B75"/>
    <w:rsid w:val="00CC7BC7"/>
    <w:rsid w:val="00CC7E21"/>
    <w:rsid w:val="00CC7FEC"/>
    <w:rsid w:val="00CD02E6"/>
    <w:rsid w:val="00CD0E01"/>
    <w:rsid w:val="00CD102F"/>
    <w:rsid w:val="00CD1112"/>
    <w:rsid w:val="00CD1386"/>
    <w:rsid w:val="00CD17F9"/>
    <w:rsid w:val="00CD1A59"/>
    <w:rsid w:val="00CD1A91"/>
    <w:rsid w:val="00CD1F29"/>
    <w:rsid w:val="00CD2779"/>
    <w:rsid w:val="00CD29BA"/>
    <w:rsid w:val="00CD2E4B"/>
    <w:rsid w:val="00CD3AB1"/>
    <w:rsid w:val="00CD3CE5"/>
    <w:rsid w:val="00CD3CEB"/>
    <w:rsid w:val="00CD3F3A"/>
    <w:rsid w:val="00CD420A"/>
    <w:rsid w:val="00CD42BB"/>
    <w:rsid w:val="00CD42D7"/>
    <w:rsid w:val="00CD490E"/>
    <w:rsid w:val="00CD4964"/>
    <w:rsid w:val="00CD5284"/>
    <w:rsid w:val="00CD58CA"/>
    <w:rsid w:val="00CD5946"/>
    <w:rsid w:val="00CD5BD2"/>
    <w:rsid w:val="00CD6279"/>
    <w:rsid w:val="00CD63DA"/>
    <w:rsid w:val="00CD6A39"/>
    <w:rsid w:val="00CD6B96"/>
    <w:rsid w:val="00CD6CA0"/>
    <w:rsid w:val="00CD7156"/>
    <w:rsid w:val="00CD71C6"/>
    <w:rsid w:val="00CE00D1"/>
    <w:rsid w:val="00CE035E"/>
    <w:rsid w:val="00CE0C01"/>
    <w:rsid w:val="00CE0F1A"/>
    <w:rsid w:val="00CE12F3"/>
    <w:rsid w:val="00CE1328"/>
    <w:rsid w:val="00CE1BBC"/>
    <w:rsid w:val="00CE1CBE"/>
    <w:rsid w:val="00CE1D3C"/>
    <w:rsid w:val="00CE1F5A"/>
    <w:rsid w:val="00CE209D"/>
    <w:rsid w:val="00CE272F"/>
    <w:rsid w:val="00CE277A"/>
    <w:rsid w:val="00CE2BC5"/>
    <w:rsid w:val="00CE2D7F"/>
    <w:rsid w:val="00CE3400"/>
    <w:rsid w:val="00CE38F8"/>
    <w:rsid w:val="00CE3C63"/>
    <w:rsid w:val="00CE4184"/>
    <w:rsid w:val="00CE44DC"/>
    <w:rsid w:val="00CE453E"/>
    <w:rsid w:val="00CE4A76"/>
    <w:rsid w:val="00CE4A97"/>
    <w:rsid w:val="00CE4E24"/>
    <w:rsid w:val="00CE5F7A"/>
    <w:rsid w:val="00CE61A8"/>
    <w:rsid w:val="00CE6318"/>
    <w:rsid w:val="00CE6E54"/>
    <w:rsid w:val="00CE6F2A"/>
    <w:rsid w:val="00CE713D"/>
    <w:rsid w:val="00CE791E"/>
    <w:rsid w:val="00CE7A9A"/>
    <w:rsid w:val="00CE7BD0"/>
    <w:rsid w:val="00CE7E48"/>
    <w:rsid w:val="00CE7EDB"/>
    <w:rsid w:val="00CF0247"/>
    <w:rsid w:val="00CF036F"/>
    <w:rsid w:val="00CF063E"/>
    <w:rsid w:val="00CF065E"/>
    <w:rsid w:val="00CF12E0"/>
    <w:rsid w:val="00CF1F26"/>
    <w:rsid w:val="00CF1F40"/>
    <w:rsid w:val="00CF26A1"/>
    <w:rsid w:val="00CF2886"/>
    <w:rsid w:val="00CF2ABF"/>
    <w:rsid w:val="00CF2AF3"/>
    <w:rsid w:val="00CF2EBB"/>
    <w:rsid w:val="00CF3444"/>
    <w:rsid w:val="00CF3659"/>
    <w:rsid w:val="00CF3F6E"/>
    <w:rsid w:val="00CF4C20"/>
    <w:rsid w:val="00CF5159"/>
    <w:rsid w:val="00CF57B2"/>
    <w:rsid w:val="00CF5C7A"/>
    <w:rsid w:val="00CF603F"/>
    <w:rsid w:val="00CF6159"/>
    <w:rsid w:val="00CF67DF"/>
    <w:rsid w:val="00CF68B1"/>
    <w:rsid w:val="00CF6922"/>
    <w:rsid w:val="00CF6C84"/>
    <w:rsid w:val="00CF6D76"/>
    <w:rsid w:val="00CF73A4"/>
    <w:rsid w:val="00CF7747"/>
    <w:rsid w:val="00CF7A36"/>
    <w:rsid w:val="00D00689"/>
    <w:rsid w:val="00D006FE"/>
    <w:rsid w:val="00D00C59"/>
    <w:rsid w:val="00D0103D"/>
    <w:rsid w:val="00D0138C"/>
    <w:rsid w:val="00D01469"/>
    <w:rsid w:val="00D01545"/>
    <w:rsid w:val="00D01806"/>
    <w:rsid w:val="00D018FD"/>
    <w:rsid w:val="00D01B4F"/>
    <w:rsid w:val="00D02183"/>
    <w:rsid w:val="00D02410"/>
    <w:rsid w:val="00D026E7"/>
    <w:rsid w:val="00D0293F"/>
    <w:rsid w:val="00D02A71"/>
    <w:rsid w:val="00D02F06"/>
    <w:rsid w:val="00D030D5"/>
    <w:rsid w:val="00D03164"/>
    <w:rsid w:val="00D033CA"/>
    <w:rsid w:val="00D038E4"/>
    <w:rsid w:val="00D039FC"/>
    <w:rsid w:val="00D03D23"/>
    <w:rsid w:val="00D0452E"/>
    <w:rsid w:val="00D04896"/>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30F"/>
    <w:rsid w:val="00D175A9"/>
    <w:rsid w:val="00D17673"/>
    <w:rsid w:val="00D17F9A"/>
    <w:rsid w:val="00D2011A"/>
    <w:rsid w:val="00D2073F"/>
    <w:rsid w:val="00D20BB8"/>
    <w:rsid w:val="00D20F0A"/>
    <w:rsid w:val="00D214E7"/>
    <w:rsid w:val="00D215CD"/>
    <w:rsid w:val="00D21CA0"/>
    <w:rsid w:val="00D21CD3"/>
    <w:rsid w:val="00D21E8A"/>
    <w:rsid w:val="00D225F4"/>
    <w:rsid w:val="00D2267C"/>
    <w:rsid w:val="00D22895"/>
    <w:rsid w:val="00D23005"/>
    <w:rsid w:val="00D2333E"/>
    <w:rsid w:val="00D23C4B"/>
    <w:rsid w:val="00D23D0E"/>
    <w:rsid w:val="00D24D9F"/>
    <w:rsid w:val="00D255E1"/>
    <w:rsid w:val="00D25604"/>
    <w:rsid w:val="00D25685"/>
    <w:rsid w:val="00D25B8C"/>
    <w:rsid w:val="00D26691"/>
    <w:rsid w:val="00D26FC2"/>
    <w:rsid w:val="00D270B3"/>
    <w:rsid w:val="00D27135"/>
    <w:rsid w:val="00D2725B"/>
    <w:rsid w:val="00D27FDA"/>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C02"/>
    <w:rsid w:val="00D37D9C"/>
    <w:rsid w:val="00D37DE1"/>
    <w:rsid w:val="00D40641"/>
    <w:rsid w:val="00D40820"/>
    <w:rsid w:val="00D40DB3"/>
    <w:rsid w:val="00D40DF5"/>
    <w:rsid w:val="00D41403"/>
    <w:rsid w:val="00D41678"/>
    <w:rsid w:val="00D41FB8"/>
    <w:rsid w:val="00D42003"/>
    <w:rsid w:val="00D42320"/>
    <w:rsid w:val="00D42E52"/>
    <w:rsid w:val="00D42FF9"/>
    <w:rsid w:val="00D433B1"/>
    <w:rsid w:val="00D43667"/>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73B"/>
    <w:rsid w:val="00D47C8E"/>
    <w:rsid w:val="00D47D53"/>
    <w:rsid w:val="00D47FF7"/>
    <w:rsid w:val="00D500BD"/>
    <w:rsid w:val="00D503C0"/>
    <w:rsid w:val="00D508D4"/>
    <w:rsid w:val="00D50917"/>
    <w:rsid w:val="00D51001"/>
    <w:rsid w:val="00D5135F"/>
    <w:rsid w:val="00D519BB"/>
    <w:rsid w:val="00D51DD0"/>
    <w:rsid w:val="00D5273C"/>
    <w:rsid w:val="00D532EB"/>
    <w:rsid w:val="00D53636"/>
    <w:rsid w:val="00D536EF"/>
    <w:rsid w:val="00D538D4"/>
    <w:rsid w:val="00D538D8"/>
    <w:rsid w:val="00D54DA7"/>
    <w:rsid w:val="00D54DBF"/>
    <w:rsid w:val="00D5556B"/>
    <w:rsid w:val="00D55628"/>
    <w:rsid w:val="00D55663"/>
    <w:rsid w:val="00D5594A"/>
    <w:rsid w:val="00D56808"/>
    <w:rsid w:val="00D56812"/>
    <w:rsid w:val="00D57193"/>
    <w:rsid w:val="00D573B4"/>
    <w:rsid w:val="00D5745E"/>
    <w:rsid w:val="00D57B31"/>
    <w:rsid w:val="00D57F3B"/>
    <w:rsid w:val="00D60069"/>
    <w:rsid w:val="00D60692"/>
    <w:rsid w:val="00D6071B"/>
    <w:rsid w:val="00D607FB"/>
    <w:rsid w:val="00D60E1B"/>
    <w:rsid w:val="00D60FA5"/>
    <w:rsid w:val="00D610F3"/>
    <w:rsid w:val="00D6110B"/>
    <w:rsid w:val="00D61148"/>
    <w:rsid w:val="00D6183E"/>
    <w:rsid w:val="00D619CF"/>
    <w:rsid w:val="00D61ABC"/>
    <w:rsid w:val="00D61BDD"/>
    <w:rsid w:val="00D61CA4"/>
    <w:rsid w:val="00D620D0"/>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870"/>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276"/>
    <w:rsid w:val="00D747A7"/>
    <w:rsid w:val="00D7587C"/>
    <w:rsid w:val="00D7591E"/>
    <w:rsid w:val="00D75F66"/>
    <w:rsid w:val="00D75FF5"/>
    <w:rsid w:val="00D765B1"/>
    <w:rsid w:val="00D76EF0"/>
    <w:rsid w:val="00D778F6"/>
    <w:rsid w:val="00D779E9"/>
    <w:rsid w:val="00D77C22"/>
    <w:rsid w:val="00D77C87"/>
    <w:rsid w:val="00D77DA6"/>
    <w:rsid w:val="00D80648"/>
    <w:rsid w:val="00D809C1"/>
    <w:rsid w:val="00D80B5C"/>
    <w:rsid w:val="00D80D2C"/>
    <w:rsid w:val="00D80DD3"/>
    <w:rsid w:val="00D81894"/>
    <w:rsid w:val="00D82181"/>
    <w:rsid w:val="00D824DF"/>
    <w:rsid w:val="00D82A76"/>
    <w:rsid w:val="00D82B60"/>
    <w:rsid w:val="00D82C6F"/>
    <w:rsid w:val="00D83191"/>
    <w:rsid w:val="00D831F1"/>
    <w:rsid w:val="00D8336B"/>
    <w:rsid w:val="00D835C6"/>
    <w:rsid w:val="00D835CD"/>
    <w:rsid w:val="00D83716"/>
    <w:rsid w:val="00D83BD4"/>
    <w:rsid w:val="00D83BFB"/>
    <w:rsid w:val="00D841D6"/>
    <w:rsid w:val="00D84410"/>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1DC"/>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CF1"/>
    <w:rsid w:val="00DA0D82"/>
    <w:rsid w:val="00DA0F6A"/>
    <w:rsid w:val="00DA1542"/>
    <w:rsid w:val="00DA172A"/>
    <w:rsid w:val="00DA1753"/>
    <w:rsid w:val="00DA1F6B"/>
    <w:rsid w:val="00DA1F8E"/>
    <w:rsid w:val="00DA25CA"/>
    <w:rsid w:val="00DA2779"/>
    <w:rsid w:val="00DA2863"/>
    <w:rsid w:val="00DA2A2F"/>
    <w:rsid w:val="00DA2BA1"/>
    <w:rsid w:val="00DA2D38"/>
    <w:rsid w:val="00DA41DF"/>
    <w:rsid w:val="00DA42A8"/>
    <w:rsid w:val="00DA49C5"/>
    <w:rsid w:val="00DA4A20"/>
    <w:rsid w:val="00DA4B8B"/>
    <w:rsid w:val="00DA4F0F"/>
    <w:rsid w:val="00DA52F4"/>
    <w:rsid w:val="00DA5902"/>
    <w:rsid w:val="00DA6459"/>
    <w:rsid w:val="00DA64FC"/>
    <w:rsid w:val="00DA6961"/>
    <w:rsid w:val="00DA6A1D"/>
    <w:rsid w:val="00DA6F2A"/>
    <w:rsid w:val="00DA70A2"/>
    <w:rsid w:val="00DA75D8"/>
    <w:rsid w:val="00DA7A4B"/>
    <w:rsid w:val="00DA7ACC"/>
    <w:rsid w:val="00DB04ED"/>
    <w:rsid w:val="00DB0987"/>
    <w:rsid w:val="00DB0F93"/>
    <w:rsid w:val="00DB17F5"/>
    <w:rsid w:val="00DB19B1"/>
    <w:rsid w:val="00DB1E2A"/>
    <w:rsid w:val="00DB230F"/>
    <w:rsid w:val="00DB278D"/>
    <w:rsid w:val="00DB2A8D"/>
    <w:rsid w:val="00DB2AD1"/>
    <w:rsid w:val="00DB2F5C"/>
    <w:rsid w:val="00DB38A0"/>
    <w:rsid w:val="00DB3C59"/>
    <w:rsid w:val="00DB3CBC"/>
    <w:rsid w:val="00DB4024"/>
    <w:rsid w:val="00DB4162"/>
    <w:rsid w:val="00DB49DE"/>
    <w:rsid w:val="00DB4BD2"/>
    <w:rsid w:val="00DB4EA5"/>
    <w:rsid w:val="00DB5230"/>
    <w:rsid w:val="00DB571D"/>
    <w:rsid w:val="00DB59FD"/>
    <w:rsid w:val="00DB5A9B"/>
    <w:rsid w:val="00DB5C10"/>
    <w:rsid w:val="00DB5CCA"/>
    <w:rsid w:val="00DB60EF"/>
    <w:rsid w:val="00DB62AD"/>
    <w:rsid w:val="00DB6631"/>
    <w:rsid w:val="00DB67A2"/>
    <w:rsid w:val="00DB690A"/>
    <w:rsid w:val="00DB6E34"/>
    <w:rsid w:val="00DB6FB9"/>
    <w:rsid w:val="00DB7354"/>
    <w:rsid w:val="00DB768E"/>
    <w:rsid w:val="00DB79DF"/>
    <w:rsid w:val="00DB79E5"/>
    <w:rsid w:val="00DB7B81"/>
    <w:rsid w:val="00DB7BC4"/>
    <w:rsid w:val="00DC02B2"/>
    <w:rsid w:val="00DC04E1"/>
    <w:rsid w:val="00DC12E8"/>
    <w:rsid w:val="00DC1A8B"/>
    <w:rsid w:val="00DC1D59"/>
    <w:rsid w:val="00DC206C"/>
    <w:rsid w:val="00DC228D"/>
    <w:rsid w:val="00DC2482"/>
    <w:rsid w:val="00DC25CF"/>
    <w:rsid w:val="00DC2C7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E8"/>
    <w:rsid w:val="00DC4B81"/>
    <w:rsid w:val="00DC4B93"/>
    <w:rsid w:val="00DC4D5A"/>
    <w:rsid w:val="00DC50C6"/>
    <w:rsid w:val="00DC5F11"/>
    <w:rsid w:val="00DC5FAE"/>
    <w:rsid w:val="00DC62BC"/>
    <w:rsid w:val="00DC6901"/>
    <w:rsid w:val="00DC6A43"/>
    <w:rsid w:val="00DC6BD0"/>
    <w:rsid w:val="00DC6C10"/>
    <w:rsid w:val="00DC71F7"/>
    <w:rsid w:val="00DC7205"/>
    <w:rsid w:val="00DC7231"/>
    <w:rsid w:val="00DC787B"/>
    <w:rsid w:val="00DC78B2"/>
    <w:rsid w:val="00DD09DC"/>
    <w:rsid w:val="00DD12E2"/>
    <w:rsid w:val="00DD16E7"/>
    <w:rsid w:val="00DD177B"/>
    <w:rsid w:val="00DD1CBF"/>
    <w:rsid w:val="00DD256B"/>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431"/>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3DE"/>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39"/>
    <w:rsid w:val="00DF27D5"/>
    <w:rsid w:val="00DF2866"/>
    <w:rsid w:val="00DF2D87"/>
    <w:rsid w:val="00DF2EF3"/>
    <w:rsid w:val="00DF334D"/>
    <w:rsid w:val="00DF37D5"/>
    <w:rsid w:val="00DF413F"/>
    <w:rsid w:val="00DF41F4"/>
    <w:rsid w:val="00DF439C"/>
    <w:rsid w:val="00DF43CA"/>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577"/>
    <w:rsid w:val="00DF7628"/>
    <w:rsid w:val="00DF7CB7"/>
    <w:rsid w:val="00DF7EFB"/>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796"/>
    <w:rsid w:val="00E06B90"/>
    <w:rsid w:val="00E06C46"/>
    <w:rsid w:val="00E06E11"/>
    <w:rsid w:val="00E0707C"/>
    <w:rsid w:val="00E07792"/>
    <w:rsid w:val="00E0783E"/>
    <w:rsid w:val="00E07915"/>
    <w:rsid w:val="00E07A09"/>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BD"/>
    <w:rsid w:val="00E204C3"/>
    <w:rsid w:val="00E20680"/>
    <w:rsid w:val="00E20C81"/>
    <w:rsid w:val="00E214EE"/>
    <w:rsid w:val="00E21688"/>
    <w:rsid w:val="00E22111"/>
    <w:rsid w:val="00E222FC"/>
    <w:rsid w:val="00E223D9"/>
    <w:rsid w:val="00E2263F"/>
    <w:rsid w:val="00E228F3"/>
    <w:rsid w:val="00E22CB9"/>
    <w:rsid w:val="00E22F11"/>
    <w:rsid w:val="00E2347C"/>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A50"/>
    <w:rsid w:val="00E36E2C"/>
    <w:rsid w:val="00E36ECB"/>
    <w:rsid w:val="00E3707E"/>
    <w:rsid w:val="00E371AD"/>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3F81"/>
    <w:rsid w:val="00E450C1"/>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00E"/>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1F"/>
    <w:rsid w:val="00E60BE7"/>
    <w:rsid w:val="00E60DA7"/>
    <w:rsid w:val="00E60DE1"/>
    <w:rsid w:val="00E60DF1"/>
    <w:rsid w:val="00E61262"/>
    <w:rsid w:val="00E6130D"/>
    <w:rsid w:val="00E614CE"/>
    <w:rsid w:val="00E620A9"/>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4BEE"/>
    <w:rsid w:val="00E64D13"/>
    <w:rsid w:val="00E6537D"/>
    <w:rsid w:val="00E65443"/>
    <w:rsid w:val="00E65528"/>
    <w:rsid w:val="00E6553D"/>
    <w:rsid w:val="00E65E5B"/>
    <w:rsid w:val="00E65FE0"/>
    <w:rsid w:val="00E66042"/>
    <w:rsid w:val="00E6629F"/>
    <w:rsid w:val="00E66F17"/>
    <w:rsid w:val="00E672F0"/>
    <w:rsid w:val="00E67381"/>
    <w:rsid w:val="00E67BA4"/>
    <w:rsid w:val="00E70A71"/>
    <w:rsid w:val="00E70F61"/>
    <w:rsid w:val="00E712F5"/>
    <w:rsid w:val="00E71BF1"/>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23A"/>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6BB"/>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AED"/>
    <w:rsid w:val="00EA3F5A"/>
    <w:rsid w:val="00EA4C44"/>
    <w:rsid w:val="00EA4D19"/>
    <w:rsid w:val="00EA4F8A"/>
    <w:rsid w:val="00EA501D"/>
    <w:rsid w:val="00EA57A3"/>
    <w:rsid w:val="00EA5A7F"/>
    <w:rsid w:val="00EA5C9A"/>
    <w:rsid w:val="00EA660E"/>
    <w:rsid w:val="00EA6C70"/>
    <w:rsid w:val="00EA7530"/>
    <w:rsid w:val="00EA7BF6"/>
    <w:rsid w:val="00EA7C61"/>
    <w:rsid w:val="00EB0092"/>
    <w:rsid w:val="00EB042B"/>
    <w:rsid w:val="00EB061A"/>
    <w:rsid w:val="00EB0A9F"/>
    <w:rsid w:val="00EB1712"/>
    <w:rsid w:val="00EB1E86"/>
    <w:rsid w:val="00EB2307"/>
    <w:rsid w:val="00EB3226"/>
    <w:rsid w:val="00EB3564"/>
    <w:rsid w:val="00EB36DC"/>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D71"/>
    <w:rsid w:val="00EB74D6"/>
    <w:rsid w:val="00EB7608"/>
    <w:rsid w:val="00EB760C"/>
    <w:rsid w:val="00EC07D1"/>
    <w:rsid w:val="00EC08F4"/>
    <w:rsid w:val="00EC0A69"/>
    <w:rsid w:val="00EC0D4A"/>
    <w:rsid w:val="00EC12A8"/>
    <w:rsid w:val="00EC1A00"/>
    <w:rsid w:val="00EC1C96"/>
    <w:rsid w:val="00EC1D38"/>
    <w:rsid w:val="00EC3971"/>
    <w:rsid w:val="00EC39A2"/>
    <w:rsid w:val="00EC4250"/>
    <w:rsid w:val="00EC446D"/>
    <w:rsid w:val="00EC483B"/>
    <w:rsid w:val="00EC4911"/>
    <w:rsid w:val="00EC50C9"/>
    <w:rsid w:val="00EC51B4"/>
    <w:rsid w:val="00EC5523"/>
    <w:rsid w:val="00EC5558"/>
    <w:rsid w:val="00EC563C"/>
    <w:rsid w:val="00EC5C13"/>
    <w:rsid w:val="00EC5C28"/>
    <w:rsid w:val="00EC5EE0"/>
    <w:rsid w:val="00EC5FDC"/>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6E6"/>
    <w:rsid w:val="00ED2A41"/>
    <w:rsid w:val="00ED2EB8"/>
    <w:rsid w:val="00ED34F6"/>
    <w:rsid w:val="00ED35C0"/>
    <w:rsid w:val="00ED3758"/>
    <w:rsid w:val="00ED3911"/>
    <w:rsid w:val="00ED3DA0"/>
    <w:rsid w:val="00ED3FC6"/>
    <w:rsid w:val="00ED42F0"/>
    <w:rsid w:val="00ED477D"/>
    <w:rsid w:val="00ED47B6"/>
    <w:rsid w:val="00ED4E4B"/>
    <w:rsid w:val="00ED4F76"/>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3E9"/>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1C76"/>
    <w:rsid w:val="00EF202A"/>
    <w:rsid w:val="00EF215B"/>
    <w:rsid w:val="00EF2E05"/>
    <w:rsid w:val="00EF344F"/>
    <w:rsid w:val="00EF3458"/>
    <w:rsid w:val="00EF373E"/>
    <w:rsid w:val="00EF3D3F"/>
    <w:rsid w:val="00EF3F56"/>
    <w:rsid w:val="00EF430B"/>
    <w:rsid w:val="00EF460B"/>
    <w:rsid w:val="00EF563F"/>
    <w:rsid w:val="00EF5823"/>
    <w:rsid w:val="00EF6341"/>
    <w:rsid w:val="00EF6562"/>
    <w:rsid w:val="00EF682B"/>
    <w:rsid w:val="00EF692B"/>
    <w:rsid w:val="00EF7A5F"/>
    <w:rsid w:val="00F00419"/>
    <w:rsid w:val="00F004EB"/>
    <w:rsid w:val="00F00518"/>
    <w:rsid w:val="00F0072E"/>
    <w:rsid w:val="00F009B0"/>
    <w:rsid w:val="00F01211"/>
    <w:rsid w:val="00F016CC"/>
    <w:rsid w:val="00F018EC"/>
    <w:rsid w:val="00F01A49"/>
    <w:rsid w:val="00F01E57"/>
    <w:rsid w:val="00F01F96"/>
    <w:rsid w:val="00F02281"/>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1C"/>
    <w:rsid w:val="00F11892"/>
    <w:rsid w:val="00F11CCD"/>
    <w:rsid w:val="00F12357"/>
    <w:rsid w:val="00F124C4"/>
    <w:rsid w:val="00F128E3"/>
    <w:rsid w:val="00F12D17"/>
    <w:rsid w:val="00F12FE6"/>
    <w:rsid w:val="00F1300C"/>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17FB9"/>
    <w:rsid w:val="00F204AA"/>
    <w:rsid w:val="00F20DF0"/>
    <w:rsid w:val="00F210A1"/>
    <w:rsid w:val="00F21378"/>
    <w:rsid w:val="00F216B9"/>
    <w:rsid w:val="00F21940"/>
    <w:rsid w:val="00F21A36"/>
    <w:rsid w:val="00F21E4C"/>
    <w:rsid w:val="00F21F1B"/>
    <w:rsid w:val="00F21F38"/>
    <w:rsid w:val="00F2284B"/>
    <w:rsid w:val="00F22851"/>
    <w:rsid w:val="00F229EB"/>
    <w:rsid w:val="00F22A98"/>
    <w:rsid w:val="00F233FC"/>
    <w:rsid w:val="00F23466"/>
    <w:rsid w:val="00F23E78"/>
    <w:rsid w:val="00F23EA0"/>
    <w:rsid w:val="00F24085"/>
    <w:rsid w:val="00F24333"/>
    <w:rsid w:val="00F247B0"/>
    <w:rsid w:val="00F247C5"/>
    <w:rsid w:val="00F248B9"/>
    <w:rsid w:val="00F24944"/>
    <w:rsid w:val="00F24C06"/>
    <w:rsid w:val="00F24DDE"/>
    <w:rsid w:val="00F25298"/>
    <w:rsid w:val="00F25616"/>
    <w:rsid w:val="00F25801"/>
    <w:rsid w:val="00F25B71"/>
    <w:rsid w:val="00F26603"/>
    <w:rsid w:val="00F267DB"/>
    <w:rsid w:val="00F269A3"/>
    <w:rsid w:val="00F271BB"/>
    <w:rsid w:val="00F272C0"/>
    <w:rsid w:val="00F27780"/>
    <w:rsid w:val="00F277A6"/>
    <w:rsid w:val="00F27A37"/>
    <w:rsid w:val="00F27A3F"/>
    <w:rsid w:val="00F27AB5"/>
    <w:rsid w:val="00F301CC"/>
    <w:rsid w:val="00F302C5"/>
    <w:rsid w:val="00F303A1"/>
    <w:rsid w:val="00F304DF"/>
    <w:rsid w:val="00F30F65"/>
    <w:rsid w:val="00F31836"/>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3B4"/>
    <w:rsid w:val="00F41594"/>
    <w:rsid w:val="00F4185B"/>
    <w:rsid w:val="00F418D3"/>
    <w:rsid w:val="00F41B0E"/>
    <w:rsid w:val="00F42107"/>
    <w:rsid w:val="00F42A49"/>
    <w:rsid w:val="00F42A7A"/>
    <w:rsid w:val="00F42EFD"/>
    <w:rsid w:val="00F43039"/>
    <w:rsid w:val="00F440C9"/>
    <w:rsid w:val="00F440EE"/>
    <w:rsid w:val="00F44818"/>
    <w:rsid w:val="00F44E19"/>
    <w:rsid w:val="00F451F3"/>
    <w:rsid w:val="00F4541A"/>
    <w:rsid w:val="00F45C9E"/>
    <w:rsid w:val="00F45CA1"/>
    <w:rsid w:val="00F46526"/>
    <w:rsid w:val="00F47012"/>
    <w:rsid w:val="00F47307"/>
    <w:rsid w:val="00F4763B"/>
    <w:rsid w:val="00F47BB9"/>
    <w:rsid w:val="00F47E7E"/>
    <w:rsid w:val="00F5013E"/>
    <w:rsid w:val="00F501F3"/>
    <w:rsid w:val="00F5023D"/>
    <w:rsid w:val="00F508D7"/>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7ED"/>
    <w:rsid w:val="00F5592B"/>
    <w:rsid w:val="00F55E20"/>
    <w:rsid w:val="00F560C2"/>
    <w:rsid w:val="00F560F9"/>
    <w:rsid w:val="00F56360"/>
    <w:rsid w:val="00F568C1"/>
    <w:rsid w:val="00F569C8"/>
    <w:rsid w:val="00F56C33"/>
    <w:rsid w:val="00F56D14"/>
    <w:rsid w:val="00F56D6F"/>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37E"/>
    <w:rsid w:val="00F63E68"/>
    <w:rsid w:val="00F63EC8"/>
    <w:rsid w:val="00F640CB"/>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1E9"/>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694"/>
    <w:rsid w:val="00F75E2C"/>
    <w:rsid w:val="00F760EE"/>
    <w:rsid w:val="00F76223"/>
    <w:rsid w:val="00F76B07"/>
    <w:rsid w:val="00F76D9B"/>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5B3"/>
    <w:rsid w:val="00F85101"/>
    <w:rsid w:val="00F851C4"/>
    <w:rsid w:val="00F85475"/>
    <w:rsid w:val="00F858E0"/>
    <w:rsid w:val="00F864E7"/>
    <w:rsid w:val="00F8670F"/>
    <w:rsid w:val="00F86963"/>
    <w:rsid w:val="00F87086"/>
    <w:rsid w:val="00F90134"/>
    <w:rsid w:val="00F907C7"/>
    <w:rsid w:val="00F90EC1"/>
    <w:rsid w:val="00F9198D"/>
    <w:rsid w:val="00F91B15"/>
    <w:rsid w:val="00F91B7E"/>
    <w:rsid w:val="00F92016"/>
    <w:rsid w:val="00F92453"/>
    <w:rsid w:val="00F925B4"/>
    <w:rsid w:val="00F925F6"/>
    <w:rsid w:val="00F93AA3"/>
    <w:rsid w:val="00F94191"/>
    <w:rsid w:val="00F9443B"/>
    <w:rsid w:val="00F94CA5"/>
    <w:rsid w:val="00F952C5"/>
    <w:rsid w:val="00F953EB"/>
    <w:rsid w:val="00F953FE"/>
    <w:rsid w:val="00F956E0"/>
    <w:rsid w:val="00F964E7"/>
    <w:rsid w:val="00F96AB2"/>
    <w:rsid w:val="00F97540"/>
    <w:rsid w:val="00F9777B"/>
    <w:rsid w:val="00F979B0"/>
    <w:rsid w:val="00F97F2D"/>
    <w:rsid w:val="00F97FB0"/>
    <w:rsid w:val="00FA0BCC"/>
    <w:rsid w:val="00FA1070"/>
    <w:rsid w:val="00FA107A"/>
    <w:rsid w:val="00FA164F"/>
    <w:rsid w:val="00FA165E"/>
    <w:rsid w:val="00FA1AB5"/>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A77"/>
    <w:rsid w:val="00FB409D"/>
    <w:rsid w:val="00FB4272"/>
    <w:rsid w:val="00FB546C"/>
    <w:rsid w:val="00FB580C"/>
    <w:rsid w:val="00FB584F"/>
    <w:rsid w:val="00FB5D61"/>
    <w:rsid w:val="00FB6343"/>
    <w:rsid w:val="00FB67CA"/>
    <w:rsid w:val="00FB6A75"/>
    <w:rsid w:val="00FB6BF7"/>
    <w:rsid w:val="00FB721B"/>
    <w:rsid w:val="00FB746B"/>
    <w:rsid w:val="00FB74A0"/>
    <w:rsid w:val="00FB7D96"/>
    <w:rsid w:val="00FC0142"/>
    <w:rsid w:val="00FC03A1"/>
    <w:rsid w:val="00FC05AE"/>
    <w:rsid w:val="00FC0623"/>
    <w:rsid w:val="00FC1D06"/>
    <w:rsid w:val="00FC1F16"/>
    <w:rsid w:val="00FC1FB3"/>
    <w:rsid w:val="00FC2855"/>
    <w:rsid w:val="00FC2977"/>
    <w:rsid w:val="00FC2A10"/>
    <w:rsid w:val="00FC317B"/>
    <w:rsid w:val="00FC32B0"/>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35F"/>
    <w:rsid w:val="00FD245D"/>
    <w:rsid w:val="00FD296C"/>
    <w:rsid w:val="00FD315A"/>
    <w:rsid w:val="00FD31A5"/>
    <w:rsid w:val="00FD3281"/>
    <w:rsid w:val="00FD3406"/>
    <w:rsid w:val="00FD3499"/>
    <w:rsid w:val="00FD370A"/>
    <w:rsid w:val="00FD376D"/>
    <w:rsid w:val="00FD3BEE"/>
    <w:rsid w:val="00FD3D3D"/>
    <w:rsid w:val="00FD3F5A"/>
    <w:rsid w:val="00FD4795"/>
    <w:rsid w:val="00FD49B4"/>
    <w:rsid w:val="00FD49CE"/>
    <w:rsid w:val="00FD4B84"/>
    <w:rsid w:val="00FD5F8B"/>
    <w:rsid w:val="00FD60D6"/>
    <w:rsid w:val="00FD61E3"/>
    <w:rsid w:val="00FD6751"/>
    <w:rsid w:val="00FD6D17"/>
    <w:rsid w:val="00FD6D64"/>
    <w:rsid w:val="00FD701C"/>
    <w:rsid w:val="00FD76D9"/>
    <w:rsid w:val="00FD78CB"/>
    <w:rsid w:val="00FD7DCF"/>
    <w:rsid w:val="00FD7F1A"/>
    <w:rsid w:val="00FE00DF"/>
    <w:rsid w:val="00FE01E9"/>
    <w:rsid w:val="00FE0547"/>
    <w:rsid w:val="00FE0864"/>
    <w:rsid w:val="00FE0888"/>
    <w:rsid w:val="00FE0AF7"/>
    <w:rsid w:val="00FE1448"/>
    <w:rsid w:val="00FE144F"/>
    <w:rsid w:val="00FE1B15"/>
    <w:rsid w:val="00FE203D"/>
    <w:rsid w:val="00FE22B4"/>
    <w:rsid w:val="00FE22B8"/>
    <w:rsid w:val="00FE31A3"/>
    <w:rsid w:val="00FE31B9"/>
    <w:rsid w:val="00FE32D7"/>
    <w:rsid w:val="00FE3716"/>
    <w:rsid w:val="00FE37FF"/>
    <w:rsid w:val="00FE389E"/>
    <w:rsid w:val="00FE449C"/>
    <w:rsid w:val="00FE46D9"/>
    <w:rsid w:val="00FE4949"/>
    <w:rsid w:val="00FE4B78"/>
    <w:rsid w:val="00FE4B9D"/>
    <w:rsid w:val="00FE55DF"/>
    <w:rsid w:val="00FE5641"/>
    <w:rsid w:val="00FE5A58"/>
    <w:rsid w:val="00FE5CAA"/>
    <w:rsid w:val="00FE62C5"/>
    <w:rsid w:val="00FE6915"/>
    <w:rsid w:val="00FE6E29"/>
    <w:rsid w:val="00FE6F2E"/>
    <w:rsid w:val="00FE72AE"/>
    <w:rsid w:val="00FE7BC4"/>
    <w:rsid w:val="00FF0690"/>
    <w:rsid w:val="00FF0A09"/>
    <w:rsid w:val="00FF0BE3"/>
    <w:rsid w:val="00FF0BF3"/>
    <w:rsid w:val="00FF11C6"/>
    <w:rsid w:val="00FF1384"/>
    <w:rsid w:val="00FF1B34"/>
    <w:rsid w:val="00FF2495"/>
    <w:rsid w:val="00FF2AC3"/>
    <w:rsid w:val="00FF2EC4"/>
    <w:rsid w:val="00FF34A8"/>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071396E5"/>
    <w:rsid w:val="0B42F35F"/>
    <w:rsid w:val="18907A28"/>
    <w:rsid w:val="2718DD8D"/>
    <w:rsid w:val="2ED968DD"/>
    <w:rsid w:val="2FF091E6"/>
    <w:rsid w:val="397B9BB0"/>
    <w:rsid w:val="412DD3E5"/>
    <w:rsid w:val="49CD9538"/>
    <w:rsid w:val="4C3C12A9"/>
    <w:rsid w:val="50241306"/>
    <w:rsid w:val="560FF36C"/>
    <w:rsid w:val="58ABD2F1"/>
    <w:rsid w:val="63153601"/>
    <w:rsid w:val="6416E7A0"/>
    <w:rsid w:val="665AD035"/>
    <w:rsid w:val="6D077F01"/>
    <w:rsid w:val="71DA8B7D"/>
    <w:rsid w:val="74C144D0"/>
    <w:rsid w:val="7892AD81"/>
    <w:rsid w:val="7E74AF0E"/>
    <w:rsid w:val="7FCDDB3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DF629F6"/>
  <w15:docId w15:val="{15D17F99-90EA-4EF0-956C-0014E55A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93838" w:themeColor="text1"/>
        <w:sz w:val="24"/>
        <w:szCs w:val="24"/>
        <w:lang w:val="en-AU" w:eastAsia="en-AU" w:bidi="ar-SA"/>
      </w:rPr>
    </w:rPrDefault>
    <w:pPrDefault>
      <w:pPr>
        <w:spacing w:after="200" w:line="276"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B12"/>
  </w:style>
  <w:style w:type="paragraph" w:styleId="Heading1">
    <w:name w:val="heading 1"/>
    <w:basedOn w:val="Normal"/>
    <w:next w:val="BodyText"/>
    <w:link w:val="Heading1Char"/>
    <w:qFormat/>
    <w:rsid w:val="00216492"/>
    <w:pPr>
      <w:keepNext/>
      <w:keepLines/>
      <w:spacing w:before="360" w:after="360" w:line="440" w:lineRule="exact"/>
      <w:outlineLvl w:val="0"/>
    </w:pPr>
    <w:rPr>
      <w:b/>
      <w:bCs/>
      <w:color w:val="201547"/>
      <w:kern w:val="32"/>
      <w:sz w:val="40"/>
      <w:szCs w:val="32"/>
    </w:rPr>
  </w:style>
  <w:style w:type="paragraph" w:styleId="Heading2">
    <w:name w:val="heading 2"/>
    <w:basedOn w:val="Normal"/>
    <w:next w:val="BodyText"/>
    <w:link w:val="Heading2Char"/>
    <w:qFormat/>
    <w:rsid w:val="00020E68"/>
    <w:pPr>
      <w:keepNext/>
      <w:keepLines/>
      <w:tabs>
        <w:tab w:val="left" w:pos="1418"/>
        <w:tab w:val="left" w:pos="1701"/>
        <w:tab w:val="left" w:pos="1985"/>
      </w:tabs>
      <w:spacing w:before="280" w:after="240" w:line="280" w:lineRule="exact"/>
      <w:outlineLvl w:val="1"/>
    </w:pPr>
    <w:rPr>
      <w:b/>
      <w:bCs/>
      <w:iCs/>
      <w:color w:val="201547"/>
      <w:kern w:val="20"/>
      <w:sz w:val="28"/>
      <w:szCs w:val="28"/>
    </w:rPr>
  </w:style>
  <w:style w:type="paragraph" w:styleId="Heading3">
    <w:name w:val="heading 3"/>
    <w:basedOn w:val="Normal"/>
    <w:next w:val="BodyText"/>
    <w:link w:val="Heading3Char"/>
    <w:qFormat/>
    <w:rsid w:val="006C1FF5"/>
    <w:pPr>
      <w:keepNext/>
      <w:keepLines/>
      <w:tabs>
        <w:tab w:val="left" w:pos="1418"/>
        <w:tab w:val="left" w:pos="1701"/>
        <w:tab w:val="left" w:pos="1985"/>
      </w:tabs>
      <w:spacing w:before="240" w:after="24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39383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2174E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39383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39383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A16239"/>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855C73"/>
    <w:pPr>
      <w:spacing w:after="40" w:line="200" w:lineRule="atLeast"/>
      <w:jc w:val="right"/>
    </w:pPr>
    <w:rPr>
      <w:spacing w:val="2"/>
      <w:sz w:val="20"/>
    </w:rPr>
  </w:style>
  <w:style w:type="table" w:styleId="TableGrid">
    <w:name w:val="Table Grid"/>
    <w:basedOn w:val="TableNormal"/>
    <w:rsid w:val="00760786"/>
    <w:pPr>
      <w:keepLines/>
      <w:spacing w:before="60" w:after="60" w:line="240" w:lineRule="atLeast"/>
      <w:ind w:left="113" w:right="113"/>
    </w:pPr>
    <w:rPr>
      <w:rFonts w:cs="Times New Roman"/>
    </w:rPr>
    <w:tblPr>
      <w:tblStyleColBandSize w:val="1"/>
      <w:tblBorders>
        <w:top w:val="single" w:sz="8" w:space="0" w:color="393838" w:themeColor="text2"/>
        <w:left w:val="single" w:sz="8" w:space="0" w:color="393838" w:themeColor="text2"/>
        <w:bottom w:val="single" w:sz="8" w:space="0" w:color="393838" w:themeColor="text2"/>
        <w:right w:val="single" w:sz="8" w:space="0" w:color="393838" w:themeColor="text2"/>
        <w:insideH w:val="single" w:sz="8" w:space="0" w:color="393838" w:themeColor="text2"/>
        <w:insideV w:val="single" w:sz="8" w:space="0" w:color="393838" w:themeColor="text2"/>
      </w:tblBorders>
      <w:tblCellMar>
        <w:left w:w="0" w:type="dxa"/>
        <w:right w:w="0" w:type="dxa"/>
      </w:tblCellMar>
    </w:tblPr>
    <w:tcPr>
      <w:vAlign w:val="center"/>
    </w:tc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4F4E4E" w:themeColor="accent1"/>
    </w:rPr>
  </w:style>
  <w:style w:type="paragraph" w:customStyle="1" w:styleId="FootnoteSeparator">
    <w:name w:val="Footnote Separator"/>
    <w:basedOn w:val="Normal"/>
    <w:unhideWhenUsed/>
    <w:rsid w:val="0086233C"/>
    <w:pPr>
      <w:pBdr>
        <w:top w:val="dotted" w:sz="8" w:space="0" w:color="393838"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087389"/>
    <w:pPr>
      <w:numPr>
        <w:numId w:val="14"/>
      </w:numPr>
      <w:tabs>
        <w:tab w:val="left" w:pos="340"/>
      </w:tabs>
      <w:spacing w:before="120" w:after="120" w:line="360" w:lineRule="auto"/>
      <w:contextualSpacing/>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67322"/>
    <w:pPr>
      <w:spacing w:before="60" w:after="120" w:line="276" w:lineRule="auto"/>
    </w:pPr>
    <w:rPr>
      <w:rFonts w:cs="Times New Roman"/>
      <w:lang w:eastAsia="en-US"/>
    </w:rPr>
  </w:style>
  <w:style w:type="character" w:customStyle="1" w:styleId="BodyTextChar">
    <w:name w:val="Body Text Char"/>
    <w:basedOn w:val="DefaultParagraphFont"/>
    <w:link w:val="BodyText"/>
    <w:rsid w:val="00967322"/>
    <w:rPr>
      <w:rFonts w:cs="Times New Roman"/>
      <w:lang w:eastAsia="en-US"/>
    </w:rPr>
  </w:style>
  <w:style w:type="paragraph" w:customStyle="1" w:styleId="Footnotes">
    <w:name w:val="Footnotes"/>
    <w:basedOn w:val="Normal"/>
    <w:rsid w:val="00952B12"/>
    <w:pPr>
      <w:keepLines/>
      <w:numPr>
        <w:numId w:val="6"/>
      </w:numPr>
      <w:spacing w:before="60" w:after="100" w:afterAutospacing="1" w:line="180" w:lineRule="exact"/>
    </w:pPr>
    <w:rPr>
      <w:sz w:val="20"/>
    </w:rPr>
  </w:style>
  <w:style w:type="paragraph" w:customStyle="1" w:styleId="TableHeadingLeft">
    <w:name w:val="Table Heading Left"/>
    <w:basedOn w:val="TableTextLeft"/>
    <w:qFormat/>
    <w:rsid w:val="003E3DC3"/>
    <w:pPr>
      <w:keepNext/>
      <w:keepLines/>
      <w:spacing w:line="240" w:lineRule="atLeast"/>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A16239"/>
    <w:rPr>
      <w:color w:val="0070C0"/>
      <w:u w:val="non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93838"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B061A"/>
    <w:pPr>
      <w:numPr>
        <w:numId w:val="7"/>
      </w:numPr>
      <w:spacing w:before="120" w:after="120" w:line="360" w:lineRule="auto"/>
      <w:contextualSpacing/>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sz w:val="32"/>
    </w:rPr>
  </w:style>
  <w:style w:type="paragraph" w:customStyle="1" w:styleId="TableTextLeft">
    <w:name w:val="Table Text Left"/>
    <w:basedOn w:val="Normal"/>
    <w:link w:val="TableTextLeftChar"/>
    <w:qFormat/>
    <w:rsid w:val="00952B12"/>
    <w:pPr>
      <w:spacing w:before="60" w:after="60" w:line="220" w:lineRule="atLeast"/>
      <w:ind w:left="113" w:right="113"/>
    </w:p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A16239"/>
    <w:pPr>
      <w:spacing w:before="170" w:after="20" w:line="170" w:lineRule="atLeast"/>
    </w:pPr>
    <w:rPr>
      <w:b/>
      <w:sz w:val="22"/>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55C73"/>
    <w:pPr>
      <w:tabs>
        <w:tab w:val="right" w:leader="dot" w:pos="9582"/>
      </w:tabs>
      <w:spacing w:before="240" w:after="60"/>
      <w:ind w:right="851"/>
    </w:pPr>
    <w:rPr>
      <w:b/>
      <w:noProof/>
      <w:color w:val="393838" w:themeColor="text2"/>
      <w:sz w:val="28"/>
    </w:rPr>
  </w:style>
  <w:style w:type="paragraph" w:styleId="TOCHeading">
    <w:name w:val="TOC Heading"/>
    <w:basedOn w:val="Normal"/>
    <w:uiPriority w:val="99"/>
    <w:rsid w:val="002174E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393838" w:themeColor="text2"/>
      <w:sz w:val="40"/>
      <w:szCs w:val="40"/>
    </w:rPr>
  </w:style>
  <w:style w:type="paragraph" w:styleId="TOC2">
    <w:name w:val="toc 2"/>
    <w:basedOn w:val="Normal"/>
    <w:next w:val="Normal"/>
    <w:uiPriority w:val="39"/>
    <w:rsid w:val="00320E71"/>
    <w:pPr>
      <w:tabs>
        <w:tab w:val="right" w:leader="dot" w:pos="9582"/>
      </w:tabs>
      <w:spacing w:before="120" w:after="60"/>
      <w:ind w:right="851"/>
    </w:pPr>
    <w:rPr>
      <w:noProof/>
      <w:sz w:val="28"/>
      <w:szCs w:val="28"/>
    </w:rPr>
  </w:style>
  <w:style w:type="paragraph" w:styleId="TOC3">
    <w:name w:val="toc 3"/>
    <w:basedOn w:val="Normal"/>
    <w:next w:val="Normal"/>
    <w:uiPriority w:val="39"/>
    <w:rsid w:val="00855C73"/>
    <w:pPr>
      <w:tabs>
        <w:tab w:val="right" w:leader="dot" w:pos="9582"/>
      </w:tabs>
      <w:spacing w:before="60" w:after="60"/>
      <w:ind w:right="851"/>
    </w:pPr>
    <w:rPr>
      <w:rFonts w:eastAsiaTheme="minorEastAsia" w:cstheme="minorBidi"/>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393838" w:themeColor="text2"/>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39383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393838"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393838" w:themeColor="text2"/>
    </w:rPr>
  </w:style>
  <w:style w:type="character" w:customStyle="1" w:styleId="Bold">
    <w:name w:val="Bold"/>
    <w:rsid w:val="00855C73"/>
    <w:rPr>
      <w:rFonts w:ascii="Arial" w:hAnsi="Arial"/>
      <w:b/>
      <w:i w:val="0"/>
      <w:sz w:val="20"/>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39383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39383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4F4E4E" w:themeColor="accent1" w:frame="1"/>
        <w:left w:val="single" w:sz="2" w:space="10" w:color="4F4E4E" w:themeColor="accent1" w:frame="1"/>
        <w:bottom w:val="single" w:sz="2" w:space="10" w:color="4F4E4E" w:themeColor="accent1" w:frame="1"/>
        <w:right w:val="single" w:sz="2" w:space="10" w:color="4F4E4E" w:themeColor="accent1"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315585"/>
    <w:pPr>
      <w:pBdr>
        <w:bottom w:val="single" w:sz="4" w:space="4" w:color="4F4E4E" w:themeColor="accent1"/>
      </w:pBdr>
      <w:spacing w:before="200" w:after="280"/>
      <w:ind w:left="936" w:right="936"/>
    </w:pPr>
    <w:rPr>
      <w:b/>
      <w:bCs/>
      <w:i/>
      <w:iCs/>
      <w:color w:val="E9E9E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9E9E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A16239"/>
    <w:pPr>
      <w:spacing w:before="60" w:after="60" w:line="180" w:lineRule="atLeast"/>
    </w:pPr>
    <w:rPr>
      <w:b/>
      <w:i/>
    </w:rPr>
  </w:style>
  <w:style w:type="paragraph" w:customStyle="1" w:styleId="xDisclaimerText">
    <w:name w:val="xDisclaimer Text"/>
    <w:basedOn w:val="xContactDetails"/>
    <w:rsid w:val="00A16239"/>
    <w:pPr>
      <w:spacing w:before="0" w:after="0" w:line="175" w:lineRule="atLeast"/>
      <w:ind w:left="0" w:right="0"/>
      <w:contextualSpacing w:val="0"/>
    </w:pPr>
    <w:rPr>
      <w:sz w:val="20"/>
    </w:rPr>
  </w:style>
  <w:style w:type="paragraph" w:customStyle="1" w:styleId="IntroFeatureText">
    <w:name w:val="Intro/Feature Text"/>
    <w:basedOn w:val="Normal"/>
    <w:next w:val="BodyText"/>
    <w:qFormat/>
    <w:rsid w:val="00F124C4"/>
    <w:pPr>
      <w:spacing w:before="60" w:after="180" w:line="360" w:lineRule="exact"/>
    </w:pPr>
    <w:rPr>
      <w:color w:val="39383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393838" w:themeColor="text2"/>
        <w:left w:val="single" w:sz="4" w:space="0" w:color="393838" w:themeColor="text2"/>
        <w:bottom w:val="single" w:sz="4" w:space="0" w:color="393838" w:themeColor="text2"/>
        <w:right w:val="single" w:sz="4" w:space="0" w:color="39383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2174E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2174EC"/>
    <w:pPr>
      <w:keepLines/>
      <w:pageBreakBefore/>
      <w:framePr w:w="11906" w:h="1701" w:hSpace="11339" w:wrap="around" w:vAnchor="page" w:hAnchor="page" w:xAlign="right" w:y="1"/>
      <w:spacing w:before="1300"/>
      <w:ind w:left="3969" w:right="1134"/>
      <w:jc w:val="right"/>
      <w:outlineLvl w:val="4"/>
    </w:pPr>
    <w:rPr>
      <w:b/>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C2786"/>
    <w:pPr>
      <w:spacing w:line="240" w:lineRule="auto"/>
    </w:pPr>
    <w:rPr>
      <w:color w:val="FFFFFF"/>
    </w:rPr>
    <w:tblPr>
      <w:tblCellMar>
        <w:top w:w="227" w:type="dxa"/>
        <w:left w:w="0" w:type="dxa"/>
        <w:bottom w:w="227" w:type="dxa"/>
        <w:right w:w="0" w:type="dxa"/>
      </w:tblCellMar>
    </w:tblPr>
    <w:tcPr>
      <w:shd w:val="clear" w:color="auto" w:fill="393838"/>
    </w:tcPr>
  </w:style>
  <w:style w:type="paragraph" w:customStyle="1" w:styleId="BodyText100ThemeColour">
    <w:name w:val="Body Text 100% Theme Colour"/>
    <w:basedOn w:val="BodyText"/>
    <w:rsid w:val="00096B2D"/>
    <w:rPr>
      <w:color w:val="393838" w:themeColor="text2"/>
    </w:rPr>
  </w:style>
  <w:style w:type="paragraph" w:customStyle="1" w:styleId="CaptionImageorFigure">
    <w:name w:val="Caption Image or Figure"/>
    <w:basedOn w:val="Caption"/>
    <w:qFormat/>
    <w:rsid w:val="007B2F0F"/>
    <w:pPr>
      <w:spacing w:before="240" w:after="120"/>
    </w:pPr>
    <w:rPr>
      <w:sz w:val="22"/>
    </w:rPr>
  </w:style>
  <w:style w:type="paragraph" w:customStyle="1" w:styleId="PhotoCredit">
    <w:name w:val="Photo Credit"/>
    <w:basedOn w:val="CaptionDescriptive"/>
    <w:next w:val="BodyText"/>
    <w:qFormat/>
    <w:rsid w:val="00952B12"/>
    <w:rPr>
      <w:i w:val="0"/>
      <w:sz w:val="24"/>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FE0547"/>
    <w:pPr>
      <w:numPr>
        <w:numId w:val="17"/>
      </w:numPr>
      <w:spacing w:before="40" w:after="120"/>
      <w:ind w:left="1094" w:hanging="357"/>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A16239"/>
    <w:pPr>
      <w:spacing w:before="40" w:after="40" w:line="220" w:lineRule="atLeast"/>
    </w:pPr>
    <w:rPr>
      <w:sz w:val="2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A0CF1"/>
    <w:pPr>
      <w:spacing w:before="120" w:after="120" w:line="220" w:lineRule="atLeast"/>
    </w:pPr>
  </w:style>
  <w:style w:type="paragraph" w:customStyle="1" w:styleId="xWeb">
    <w:name w:val="xWeb"/>
    <w:basedOn w:val="Normal"/>
    <w:semiHidden/>
    <w:qFormat/>
    <w:rsid w:val="001B758A"/>
    <w:pPr>
      <w:spacing w:line="240" w:lineRule="auto"/>
    </w:pPr>
    <w:rPr>
      <w:b/>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style>
  <w:style w:type="paragraph" w:customStyle="1" w:styleId="xAccessibilityHeading">
    <w:name w:val="xAccessibility Heading"/>
    <w:basedOn w:val="Normal"/>
    <w:semiHidden/>
    <w:qFormat/>
    <w:rsid w:val="0086451D"/>
    <w:pPr>
      <w:spacing w:before="170" w:after="20" w:line="300" w:lineRule="exact"/>
    </w:pPr>
    <w:rPr>
      <w:b/>
    </w:rPr>
  </w:style>
  <w:style w:type="paragraph" w:customStyle="1" w:styleId="FooterEvenPageNumber">
    <w:name w:val="Footer Even Page Number"/>
    <w:basedOn w:val="FooterEven"/>
    <w:rsid w:val="001748A0"/>
    <w:pPr>
      <w:framePr w:wrap="around" w:vAnchor="page" w:hAnchor="margin" w:yAlign="bottom"/>
    </w:pPr>
    <w:rPr>
      <w:b/>
      <w:color w:val="4F4E4E" w:themeColor="accent1"/>
    </w:rPr>
  </w:style>
  <w:style w:type="character" w:customStyle="1" w:styleId="Heading2Char">
    <w:name w:val="Heading 2 Char"/>
    <w:basedOn w:val="DefaultParagraphFont"/>
    <w:link w:val="Heading2"/>
    <w:rsid w:val="00020E68"/>
    <w:rPr>
      <w:b/>
      <w:bCs/>
      <w:iCs/>
      <w:color w:val="201547"/>
      <w:kern w:val="20"/>
      <w:sz w:val="28"/>
      <w:szCs w:val="28"/>
    </w:rPr>
  </w:style>
  <w:style w:type="character" w:customStyle="1" w:styleId="Heading1Char">
    <w:name w:val="Heading 1 Char"/>
    <w:basedOn w:val="DefaultParagraphFont"/>
    <w:link w:val="Heading1"/>
    <w:rsid w:val="00216492"/>
    <w:rPr>
      <w:b/>
      <w:bCs/>
      <w:color w:val="201547"/>
      <w:kern w:val="32"/>
      <w:sz w:val="40"/>
      <w:szCs w:val="32"/>
    </w:rPr>
  </w:style>
  <w:style w:type="character" w:customStyle="1" w:styleId="Heading3Char">
    <w:name w:val="Heading 3 Char"/>
    <w:basedOn w:val="DefaultParagraphFont"/>
    <w:link w:val="Heading3"/>
    <w:rsid w:val="006C1FF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952B12"/>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6" w:themeFill="text1" w:themeFillTint="33"/>
    </w:tcPr>
    <w:tblStylePr w:type="firstRow">
      <w:rPr>
        <w:b/>
        <w:bCs/>
      </w:rPr>
      <w:tblPr/>
      <w:tcPr>
        <w:shd w:val="clear" w:color="auto" w:fill="B0AEAE" w:themeFill="text1" w:themeFillTint="66"/>
      </w:tcPr>
    </w:tblStylePr>
    <w:tblStylePr w:type="lastRow">
      <w:rPr>
        <w:b/>
        <w:bCs/>
        <w:color w:val="393838" w:themeColor="text1"/>
      </w:rPr>
      <w:tblPr/>
      <w:tcPr>
        <w:shd w:val="clear" w:color="auto" w:fill="B0AEAE" w:themeFill="text1" w:themeFillTint="66"/>
      </w:tcPr>
    </w:tblStylePr>
    <w:tblStylePr w:type="firstCol">
      <w:rPr>
        <w:color w:val="FFFFFF" w:themeColor="background1"/>
      </w:rPr>
      <w:tblPr/>
      <w:tcPr>
        <w:shd w:val="clear" w:color="auto" w:fill="2A2929" w:themeFill="text1" w:themeFillShade="BF"/>
      </w:tcPr>
    </w:tblStylePr>
    <w:tblStylePr w:type="lastCol">
      <w:rPr>
        <w:color w:val="FFFFFF" w:themeColor="background1"/>
      </w:rPr>
      <w:tblPr/>
      <w:tcPr>
        <w:shd w:val="clear" w:color="auto" w:fill="2A2929" w:themeFill="text1" w:themeFillShade="BF"/>
      </w:tc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CDBDB" w:themeFill="accent1" w:themeFillTint="33"/>
    </w:tcPr>
    <w:tblStylePr w:type="firstRow">
      <w:rPr>
        <w:b/>
        <w:bCs/>
      </w:rPr>
      <w:tblPr/>
      <w:tcPr>
        <w:shd w:val="clear" w:color="auto" w:fill="B8B7B7" w:themeFill="accent1" w:themeFillTint="66"/>
      </w:tcPr>
    </w:tblStylePr>
    <w:tblStylePr w:type="lastRow">
      <w:rPr>
        <w:b/>
        <w:bCs/>
        <w:color w:val="393838" w:themeColor="text1"/>
      </w:rPr>
      <w:tblPr/>
      <w:tcPr>
        <w:shd w:val="clear" w:color="auto" w:fill="B8B7B7" w:themeFill="accent1" w:themeFillTint="66"/>
      </w:tcPr>
    </w:tblStylePr>
    <w:tblStylePr w:type="firstCol">
      <w:rPr>
        <w:color w:val="FFFFFF" w:themeColor="background1"/>
      </w:rPr>
      <w:tblPr/>
      <w:tcPr>
        <w:shd w:val="clear" w:color="auto" w:fill="3B3A3A" w:themeFill="accent1" w:themeFillShade="BF"/>
      </w:tcPr>
    </w:tblStylePr>
    <w:tblStylePr w:type="lastCol">
      <w:rPr>
        <w:color w:val="FFFFFF" w:themeColor="background1"/>
      </w:rPr>
      <w:tblPr/>
      <w:tcPr>
        <w:shd w:val="clear" w:color="auto" w:fill="3B3A3A" w:themeFill="accent1" w:themeFillShade="BF"/>
      </w:tc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4E4" w:themeFill="accent2" w:themeFillTint="33"/>
    </w:tcPr>
    <w:tblStylePr w:type="firstRow">
      <w:rPr>
        <w:b/>
        <w:bCs/>
      </w:rPr>
      <w:tblPr/>
      <w:tcPr>
        <w:shd w:val="clear" w:color="auto" w:fill="CAC9C9" w:themeFill="accent2" w:themeFillTint="66"/>
      </w:tcPr>
    </w:tblStylePr>
    <w:tblStylePr w:type="lastRow">
      <w:rPr>
        <w:b/>
        <w:bCs/>
        <w:color w:val="393838" w:themeColor="text1"/>
      </w:rPr>
      <w:tblPr/>
      <w:tcPr>
        <w:shd w:val="clear" w:color="auto" w:fill="CAC9C9" w:themeFill="accent2" w:themeFillTint="66"/>
      </w:tcPr>
    </w:tblStylePr>
    <w:tblStylePr w:type="firstCol">
      <w:rPr>
        <w:color w:val="FFFFFF" w:themeColor="background1"/>
      </w:rPr>
      <w:tblPr/>
      <w:tcPr>
        <w:shd w:val="clear" w:color="auto" w:fill="5C5B5B" w:themeFill="accent2" w:themeFillShade="BF"/>
      </w:tcPr>
    </w:tblStylePr>
    <w:tblStylePr w:type="lastCol">
      <w:rPr>
        <w:color w:val="FFFFFF" w:themeColor="background1"/>
      </w:rPr>
      <w:tblPr/>
      <w:tcPr>
        <w:shd w:val="clear" w:color="auto" w:fill="5C5B5B" w:themeFill="accent2" w:themeFillShade="BF"/>
      </w:tc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393838" w:themeColor="text1"/>
      </w:rPr>
      <w:tblPr/>
      <w:tcPr>
        <w:shd w:val="clear" w:color="auto" w:fill="DBDBDB" w:themeFill="accent3" w:themeFillTint="66"/>
      </w:tcPr>
    </w:tblStylePr>
    <w:tblStylePr w:type="firstCol">
      <w:rPr>
        <w:color w:val="FFFFFF" w:themeColor="background1"/>
      </w:rPr>
      <w:tblPr/>
      <w:tcPr>
        <w:shd w:val="clear" w:color="auto" w:fill="7D7D7C" w:themeFill="accent3" w:themeFillShade="BF"/>
      </w:tcPr>
    </w:tblStylePr>
    <w:tblStylePr w:type="lastCol">
      <w:rPr>
        <w:color w:val="FFFFFF" w:themeColor="background1"/>
      </w:rPr>
      <w:tblPr/>
      <w:tcPr>
        <w:shd w:val="clear" w:color="auto" w:fill="7D7D7C" w:themeFill="accent3" w:themeFillShade="BF"/>
      </w:tc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3D2D2" w:themeFill="accent4" w:themeFillTint="33"/>
    </w:tcPr>
    <w:tblStylePr w:type="firstRow">
      <w:rPr>
        <w:b/>
        <w:bCs/>
      </w:rPr>
      <w:tblPr/>
      <w:tcPr>
        <w:shd w:val="clear" w:color="auto" w:fill="A8A5A5" w:themeFill="accent4" w:themeFillTint="66"/>
      </w:tcPr>
    </w:tblStylePr>
    <w:tblStylePr w:type="lastRow">
      <w:rPr>
        <w:b/>
        <w:bCs/>
        <w:color w:val="393838" w:themeColor="text1"/>
      </w:rPr>
      <w:tblPr/>
      <w:tcPr>
        <w:shd w:val="clear" w:color="auto" w:fill="A8A5A5" w:themeFill="accent4" w:themeFillTint="66"/>
      </w:tcPr>
    </w:tblStylePr>
    <w:tblStylePr w:type="firstCol">
      <w:rPr>
        <w:color w:val="FFFFFF" w:themeColor="background1"/>
      </w:rPr>
      <w:tblPr/>
      <w:tcPr>
        <w:shd w:val="clear" w:color="auto" w:fill="1A1919" w:themeFill="accent4" w:themeFillShade="BF"/>
      </w:tcPr>
    </w:tblStylePr>
    <w:tblStylePr w:type="lastCol">
      <w:rPr>
        <w:color w:val="FFFFFF" w:themeColor="background1"/>
      </w:rPr>
      <w:tblPr/>
      <w:tcPr>
        <w:shd w:val="clear" w:color="auto" w:fill="1A1919" w:themeFill="accent4" w:themeFillShade="BF"/>
      </w:tc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DFDF" w:themeFill="accent5" w:themeFillTint="33"/>
    </w:tcPr>
    <w:tblStylePr w:type="firstRow">
      <w:rPr>
        <w:b/>
        <w:bCs/>
      </w:rPr>
      <w:tblPr/>
      <w:tcPr>
        <w:shd w:val="clear" w:color="auto" w:fill="C1C0C0" w:themeFill="accent5" w:themeFillTint="66"/>
      </w:tcPr>
    </w:tblStylePr>
    <w:tblStylePr w:type="lastRow">
      <w:rPr>
        <w:b/>
        <w:bCs/>
        <w:color w:val="393838" w:themeColor="text1"/>
      </w:rPr>
      <w:tblPr/>
      <w:tcPr>
        <w:shd w:val="clear" w:color="auto" w:fill="C1C0C0" w:themeFill="accent5" w:themeFillTint="66"/>
      </w:tcPr>
    </w:tblStylePr>
    <w:tblStylePr w:type="firstCol">
      <w:rPr>
        <w:color w:val="FFFFFF" w:themeColor="background1"/>
      </w:rPr>
      <w:tblPr/>
      <w:tcPr>
        <w:shd w:val="clear" w:color="auto" w:fill="4B4A4A" w:themeFill="accent5" w:themeFillShade="BF"/>
      </w:tcPr>
    </w:tblStylePr>
    <w:tblStylePr w:type="lastCol">
      <w:rPr>
        <w:color w:val="FFFFFF" w:themeColor="background1"/>
      </w:rPr>
      <w:tblPr/>
      <w:tcPr>
        <w:shd w:val="clear" w:color="auto" w:fill="4B4A4A" w:themeFill="accent5" w:themeFillShade="BF"/>
      </w:tc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9E8E8" w:themeFill="accent6" w:themeFillTint="33"/>
    </w:tcPr>
    <w:tblStylePr w:type="firstRow">
      <w:rPr>
        <w:b/>
        <w:bCs/>
      </w:rPr>
      <w:tblPr/>
      <w:tcPr>
        <w:shd w:val="clear" w:color="auto" w:fill="D3D2D2" w:themeFill="accent6" w:themeFillTint="66"/>
      </w:tcPr>
    </w:tblStylePr>
    <w:tblStylePr w:type="lastRow">
      <w:rPr>
        <w:b/>
        <w:bCs/>
        <w:color w:val="393838" w:themeColor="text1"/>
      </w:rPr>
      <w:tblPr/>
      <w:tcPr>
        <w:shd w:val="clear" w:color="auto" w:fill="D3D2D2" w:themeFill="accent6" w:themeFillTint="66"/>
      </w:tcPr>
    </w:tblStylePr>
    <w:tblStylePr w:type="firstCol">
      <w:rPr>
        <w:color w:val="FFFFFF" w:themeColor="background1"/>
      </w:rPr>
      <w:tblPr/>
      <w:tcPr>
        <w:shd w:val="clear" w:color="auto" w:fill="6C6B6B" w:themeFill="accent6" w:themeFillShade="BF"/>
      </w:tcPr>
    </w:tblStylePr>
    <w:tblStylePr w:type="lastCol">
      <w:rPr>
        <w:color w:val="FFFFFF" w:themeColor="background1"/>
      </w:rPr>
      <w:tblPr/>
      <w:tcPr>
        <w:shd w:val="clear" w:color="auto" w:fill="6C6B6B" w:themeFill="accent6" w:themeFillShade="BF"/>
      </w:tc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DCD" w:themeFill="text1" w:themeFillTint="3F"/>
      </w:tcPr>
    </w:tblStylePr>
    <w:tblStylePr w:type="band1Horz">
      <w:tblPr/>
      <w:tcPr>
        <w:shd w:val="clear" w:color="auto" w:fill="D7D6D6"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DEDED" w:themeFill="accen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1" w:themeFillTint="3F"/>
      </w:tcPr>
    </w:tblStylePr>
    <w:tblStylePr w:type="band1Horz">
      <w:tblPr/>
      <w:tcPr>
        <w:shd w:val="clear" w:color="auto" w:fill="DCDBD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2F1F1" w:themeFill="accent2"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4E4E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1B1B1B" w:themeFill="accent4" w:themeFillShade="CC"/>
      </w:tcPr>
    </w:tblStylePr>
    <w:tblStylePr w:type="lastRow">
      <w:rPr>
        <w:b/>
        <w:bCs/>
        <w:color w:val="1B1B1B" w:themeColor="accent4"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9E9E9" w:themeFill="accent4" w:themeFillTint="19"/>
    </w:tcPr>
    <w:tblStylePr w:type="firstRow">
      <w:rPr>
        <w:b/>
        <w:bCs/>
        <w:color w:val="FFFFFF" w:themeColor="background1"/>
      </w:rPr>
      <w:tblPr/>
      <w:tcPr>
        <w:tcBorders>
          <w:bottom w:val="single" w:sz="12" w:space="0" w:color="FFFFFF" w:themeColor="background1"/>
        </w:tcBorders>
        <w:shd w:val="clear" w:color="auto" w:fill="858584" w:themeFill="accent3" w:themeFillShade="CC"/>
      </w:tcPr>
    </w:tblStylePr>
    <w:tblStylePr w:type="lastRow">
      <w:rPr>
        <w:b/>
        <w:bCs/>
        <w:color w:val="858584" w:themeColor="accent3"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accent4" w:themeFillTint="3F"/>
      </w:tcPr>
    </w:tblStylePr>
    <w:tblStylePr w:type="band1Horz">
      <w:tblPr/>
      <w:tcPr>
        <w:shd w:val="clear" w:color="auto" w:fill="D3D2D2"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0EFEF"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8" w:themeFill="accent5" w:themeFillTint="3F"/>
      </w:tcPr>
    </w:tblStylePr>
    <w:tblStylePr w:type="band1Horz">
      <w:tblPr/>
      <w:tcPr>
        <w:shd w:val="clear" w:color="auto" w:fill="E0DF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505050" w:themeFill="accent5" w:themeFillShade="CC"/>
      </w:tcPr>
    </w:tblStylePr>
    <w:tblStylePr w:type="lastRow">
      <w:rPr>
        <w:b/>
        <w:bCs/>
        <w:color w:val="505050" w:themeColor="accent5"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9E8E8"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393838" w:themeColor="text1"/>
        <w:bottom w:val="single" w:sz="4" w:space="0" w:color="393838" w:themeColor="text1"/>
        <w:right w:val="single" w:sz="4" w:space="0" w:color="393838"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2121" w:themeFill="text1" w:themeFillShade="99"/>
      </w:tcPr>
    </w:tblStylePr>
    <w:tblStylePr w:type="firstCol">
      <w:rPr>
        <w:color w:val="FFFFFF" w:themeColor="background1"/>
      </w:rPr>
      <w:tblPr/>
      <w:tcPr>
        <w:tcBorders>
          <w:top w:val="nil"/>
          <w:left w:val="nil"/>
          <w:bottom w:val="nil"/>
          <w:right w:val="nil"/>
          <w:insideH w:val="single" w:sz="4" w:space="0" w:color="222121" w:themeColor="text1" w:themeShade="99"/>
          <w:insideV w:val="nil"/>
        </w:tcBorders>
        <w:shd w:val="clear" w:color="auto" w:fill="22212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A2929" w:themeFill="text1" w:themeFillShade="BF"/>
      </w:tcPr>
    </w:tblStylePr>
    <w:tblStylePr w:type="band1Vert">
      <w:tblPr/>
      <w:tcPr>
        <w:shd w:val="clear" w:color="auto" w:fill="B0AEAE" w:themeFill="text1" w:themeFillTint="66"/>
      </w:tcPr>
    </w:tblStylePr>
    <w:tblStylePr w:type="band1Horz">
      <w:tblPr/>
      <w:tcPr>
        <w:shd w:val="clear" w:color="auto" w:fill="9D9B9B" w:themeFill="text1" w:themeFillTint="7F"/>
      </w:tcPr>
    </w:tblStylePr>
    <w:tblStylePr w:type="neCell">
      <w:rPr>
        <w:color w:val="393838" w:themeColor="text1"/>
      </w:rPr>
    </w:tblStylePr>
    <w:tblStylePr w:type="nwCell">
      <w:rPr>
        <w:color w:val="393838"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4F4E4E" w:themeColor="accent1"/>
        <w:bottom w:val="single" w:sz="4" w:space="0" w:color="4F4E4E" w:themeColor="accent1"/>
        <w:right w:val="single" w:sz="4" w:space="0" w:color="4F4E4E" w:themeColor="accent1"/>
        <w:insideH w:val="single" w:sz="4" w:space="0" w:color="FFFFFF" w:themeColor="background1"/>
        <w:insideV w:val="single" w:sz="4" w:space="0" w:color="FFFFFF" w:themeColor="background1"/>
      </w:tblBorders>
    </w:tblPr>
    <w:tcPr>
      <w:shd w:val="clear" w:color="auto" w:fill="EDEDED" w:themeFill="accen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2E2E" w:themeFill="accent1" w:themeFillShade="99"/>
      </w:tcPr>
    </w:tblStylePr>
    <w:tblStylePr w:type="firstCol">
      <w:rPr>
        <w:color w:val="FFFFFF" w:themeColor="background1"/>
      </w:rPr>
      <w:tblPr/>
      <w:tcPr>
        <w:tcBorders>
          <w:top w:val="nil"/>
          <w:left w:val="nil"/>
          <w:bottom w:val="nil"/>
          <w:right w:val="nil"/>
          <w:insideH w:val="single" w:sz="4" w:space="0" w:color="2F2E2E" w:themeColor="accent1" w:themeShade="99"/>
          <w:insideV w:val="nil"/>
        </w:tcBorders>
        <w:shd w:val="clear" w:color="auto" w:fill="2F2E2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2E2E" w:themeFill="accent1" w:themeFillShade="99"/>
      </w:tcPr>
    </w:tblStylePr>
    <w:tblStylePr w:type="band1Vert">
      <w:tblPr/>
      <w:tcPr>
        <w:shd w:val="clear" w:color="auto" w:fill="B8B7B7" w:themeFill="accent1" w:themeFillTint="66"/>
      </w:tcPr>
    </w:tblStylePr>
    <w:tblStylePr w:type="band1Horz">
      <w:tblPr/>
      <w:tcPr>
        <w:shd w:val="clear" w:color="auto" w:fill="A7A6A6" w:themeFill="accent1" w:themeFillTint="7F"/>
      </w:tcPr>
    </w:tblStylePr>
    <w:tblStylePr w:type="neCell">
      <w:rPr>
        <w:color w:val="393838" w:themeColor="text1"/>
      </w:rPr>
    </w:tblStylePr>
    <w:tblStylePr w:type="nwCell">
      <w:rPr>
        <w:color w:val="393838"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7B7A7A" w:themeColor="accent2"/>
        <w:bottom w:val="single" w:sz="4" w:space="0" w:color="7B7A7A" w:themeColor="accent2"/>
        <w:right w:val="single" w:sz="4" w:space="0" w:color="7B7A7A" w:themeColor="accent2"/>
        <w:insideH w:val="single" w:sz="4" w:space="0" w:color="FFFFFF" w:themeColor="background1"/>
        <w:insideV w:val="single" w:sz="4" w:space="0" w:color="FFFFFF" w:themeColor="background1"/>
      </w:tblBorders>
    </w:tblPr>
    <w:tcPr>
      <w:shd w:val="clear" w:color="auto" w:fill="F2F1F1" w:themeFill="accent2"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2" w:themeFillShade="99"/>
      </w:tcPr>
    </w:tblStylePr>
    <w:tblStylePr w:type="firstCol">
      <w:rPr>
        <w:color w:val="FFFFFF" w:themeColor="background1"/>
      </w:rPr>
      <w:tblPr/>
      <w:tcPr>
        <w:tcBorders>
          <w:top w:val="nil"/>
          <w:left w:val="nil"/>
          <w:bottom w:val="nil"/>
          <w:right w:val="nil"/>
          <w:insideH w:val="single" w:sz="4" w:space="0" w:color="494949" w:themeColor="accent2" w:themeShade="99"/>
          <w:insideV w:val="nil"/>
        </w:tcBorders>
        <w:shd w:val="clear" w:color="auto" w:fill="4949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2" w:themeFillShade="99"/>
      </w:tcPr>
    </w:tblStylePr>
    <w:tblStylePr w:type="band1Vert">
      <w:tblPr/>
      <w:tcPr>
        <w:shd w:val="clear" w:color="auto" w:fill="CAC9C9" w:themeFill="accent2" w:themeFillTint="66"/>
      </w:tcPr>
    </w:tblStylePr>
    <w:tblStylePr w:type="band1Horz">
      <w:tblPr/>
      <w:tcPr>
        <w:shd w:val="clear" w:color="auto" w:fill="BDBCBC" w:themeFill="accent2" w:themeFillTint="7F"/>
      </w:tcPr>
    </w:tblStylePr>
    <w:tblStylePr w:type="neCell">
      <w:rPr>
        <w:color w:val="393838" w:themeColor="text1"/>
      </w:rPr>
    </w:tblStylePr>
    <w:tblStylePr w:type="nwCell">
      <w:rPr>
        <w:color w:val="393838"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32222" w:themeColor="accent4"/>
        <w:left w:val="single" w:sz="4" w:space="0" w:color="A7A7A6" w:themeColor="accent3"/>
        <w:bottom w:val="single" w:sz="4" w:space="0" w:color="A7A7A6" w:themeColor="accent3"/>
        <w:right w:val="single" w:sz="4" w:space="0" w:color="A7A7A6"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6463" w:themeFill="accent3" w:themeFillShade="99"/>
      </w:tcPr>
    </w:tblStylePr>
    <w:tblStylePr w:type="firstCol">
      <w:rPr>
        <w:color w:val="FFFFFF" w:themeColor="background1"/>
      </w:rPr>
      <w:tblPr/>
      <w:tcPr>
        <w:tcBorders>
          <w:top w:val="nil"/>
          <w:left w:val="nil"/>
          <w:bottom w:val="nil"/>
          <w:right w:val="nil"/>
          <w:insideH w:val="single" w:sz="4" w:space="0" w:color="646463" w:themeColor="accent3" w:themeShade="99"/>
          <w:insideV w:val="nil"/>
        </w:tcBorders>
        <w:shd w:val="clear" w:color="auto" w:fill="6464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6463" w:themeFill="accent3" w:themeFillShade="99"/>
      </w:tcPr>
    </w:tblStylePr>
    <w:tblStylePr w:type="band1Vert">
      <w:tblPr/>
      <w:tcPr>
        <w:shd w:val="clear" w:color="auto" w:fill="DBDBDB" w:themeFill="accent3" w:themeFillTint="66"/>
      </w:tcPr>
    </w:tblStylePr>
    <w:tblStylePr w:type="band1Horz">
      <w:tblPr/>
      <w:tcPr>
        <w:shd w:val="clear" w:color="auto" w:fill="D3D3D2"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A7A7A6" w:themeColor="accent3"/>
        <w:left w:val="single" w:sz="4" w:space="0" w:color="232222" w:themeColor="accent4"/>
        <w:bottom w:val="single" w:sz="4" w:space="0" w:color="232222" w:themeColor="accent4"/>
        <w:right w:val="single" w:sz="4" w:space="0" w:color="232222" w:themeColor="accent4"/>
        <w:insideH w:val="single" w:sz="4" w:space="0" w:color="FFFFFF" w:themeColor="background1"/>
        <w:insideV w:val="single" w:sz="4" w:space="0" w:color="FFFFFF" w:themeColor="background1"/>
      </w:tblBorders>
    </w:tblPr>
    <w:tcPr>
      <w:shd w:val="clear" w:color="auto" w:fill="E9E9E9" w:themeFill="accent4" w:themeFillTint="19"/>
    </w:tcPr>
    <w:tblStylePr w:type="firstRow">
      <w:rPr>
        <w:b/>
        <w:bCs/>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accent4" w:themeFillShade="99"/>
      </w:tcPr>
    </w:tblStylePr>
    <w:tblStylePr w:type="firstCol">
      <w:rPr>
        <w:color w:val="FFFFFF" w:themeColor="background1"/>
      </w:rPr>
      <w:tblPr/>
      <w:tcPr>
        <w:tcBorders>
          <w:top w:val="nil"/>
          <w:left w:val="nil"/>
          <w:bottom w:val="nil"/>
          <w:right w:val="nil"/>
          <w:insideH w:val="single" w:sz="4" w:space="0" w:color="141414" w:themeColor="accent4" w:themeShade="99"/>
          <w:insideV w:val="nil"/>
        </w:tcBorders>
        <w:shd w:val="clear" w:color="auto" w:fill="1414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accent4" w:themeFillShade="99"/>
      </w:tcPr>
    </w:tblStylePr>
    <w:tblStylePr w:type="band1Vert">
      <w:tblPr/>
      <w:tcPr>
        <w:shd w:val="clear" w:color="auto" w:fill="A8A5A5" w:themeFill="accent4" w:themeFillTint="66"/>
      </w:tcPr>
    </w:tblStylePr>
    <w:tblStylePr w:type="band1Horz">
      <w:tblPr/>
      <w:tcPr>
        <w:shd w:val="clear" w:color="auto" w:fill="928F8F" w:themeFill="accent4" w:themeFillTint="7F"/>
      </w:tcPr>
    </w:tblStylePr>
    <w:tblStylePr w:type="neCell">
      <w:rPr>
        <w:color w:val="393838" w:themeColor="text1"/>
      </w:rPr>
    </w:tblStylePr>
    <w:tblStylePr w:type="nwCell">
      <w:rPr>
        <w:color w:val="393838"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919090" w:themeColor="accent6"/>
        <w:left w:val="single" w:sz="4" w:space="0" w:color="656464" w:themeColor="accent5"/>
        <w:bottom w:val="single" w:sz="4" w:space="0" w:color="656464" w:themeColor="accent5"/>
        <w:right w:val="single" w:sz="4" w:space="0" w:color="656464" w:themeColor="accent5"/>
        <w:insideH w:val="single" w:sz="4" w:space="0" w:color="FFFFFF" w:themeColor="background1"/>
        <w:insideV w:val="single" w:sz="4" w:space="0" w:color="FFFFFF" w:themeColor="background1"/>
      </w:tblBorders>
    </w:tblPr>
    <w:tcPr>
      <w:shd w:val="clear" w:color="auto" w:fill="F0EFEF" w:themeFill="accent5" w:themeFillTint="19"/>
    </w:tcPr>
    <w:tblStylePr w:type="firstRow">
      <w:rPr>
        <w:b/>
        <w:bCs/>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C3C" w:themeFill="accent5" w:themeFillShade="99"/>
      </w:tcPr>
    </w:tblStylePr>
    <w:tblStylePr w:type="firstCol">
      <w:rPr>
        <w:color w:val="FFFFFF" w:themeColor="background1"/>
      </w:rPr>
      <w:tblPr/>
      <w:tcPr>
        <w:tcBorders>
          <w:top w:val="nil"/>
          <w:left w:val="nil"/>
          <w:bottom w:val="nil"/>
          <w:right w:val="nil"/>
          <w:insideH w:val="single" w:sz="4" w:space="0" w:color="3C3C3C" w:themeColor="accent5" w:themeShade="99"/>
          <w:insideV w:val="nil"/>
        </w:tcBorders>
        <w:shd w:val="clear" w:color="auto" w:fill="3C3C3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3C3C" w:themeFill="accent5" w:themeFillShade="99"/>
      </w:tcPr>
    </w:tblStylePr>
    <w:tblStylePr w:type="band1Vert">
      <w:tblPr/>
      <w:tcPr>
        <w:shd w:val="clear" w:color="auto" w:fill="C1C0C0" w:themeFill="accent5" w:themeFillTint="66"/>
      </w:tcPr>
    </w:tblStylePr>
    <w:tblStylePr w:type="band1Horz">
      <w:tblPr/>
      <w:tcPr>
        <w:shd w:val="clear" w:color="auto" w:fill="B2B1B1" w:themeFill="accent5" w:themeFillTint="7F"/>
      </w:tcPr>
    </w:tblStylePr>
    <w:tblStylePr w:type="neCell">
      <w:rPr>
        <w:color w:val="393838" w:themeColor="text1"/>
      </w:rPr>
    </w:tblStylePr>
    <w:tblStylePr w:type="nwCell">
      <w:rPr>
        <w:color w:val="393838"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656464" w:themeColor="accent5"/>
        <w:left w:val="single" w:sz="4" w:space="0" w:color="919090" w:themeColor="accent6"/>
        <w:bottom w:val="single" w:sz="4" w:space="0" w:color="919090" w:themeColor="accent6"/>
        <w:right w:val="single" w:sz="4" w:space="0" w:color="91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656" w:themeFill="accent6" w:themeFillShade="99"/>
      </w:tcPr>
    </w:tblStylePr>
    <w:tblStylePr w:type="firstCol">
      <w:rPr>
        <w:color w:val="FFFFFF" w:themeColor="background1"/>
      </w:rPr>
      <w:tblPr/>
      <w:tcPr>
        <w:tcBorders>
          <w:top w:val="nil"/>
          <w:left w:val="nil"/>
          <w:bottom w:val="nil"/>
          <w:right w:val="nil"/>
          <w:insideH w:val="single" w:sz="4" w:space="0" w:color="575656" w:themeColor="accent6" w:themeShade="99"/>
          <w:insideV w:val="nil"/>
        </w:tcBorders>
        <w:shd w:val="clear" w:color="auto" w:fill="57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5656" w:themeFill="accent6" w:themeFillShade="99"/>
      </w:tcPr>
    </w:tblStylePr>
    <w:tblStylePr w:type="band1Vert">
      <w:tblPr/>
      <w:tcPr>
        <w:shd w:val="clear" w:color="auto" w:fill="D3D2D2" w:themeFill="accent6" w:themeFillTint="66"/>
      </w:tcPr>
    </w:tblStylePr>
    <w:tblStylePr w:type="band1Horz">
      <w:tblPr/>
      <w:tcPr>
        <w:shd w:val="clear" w:color="auto" w:fill="C8C7C7" w:themeFill="accent6" w:themeFillTint="7F"/>
      </w:tcPr>
    </w:tblStylePr>
    <w:tblStylePr w:type="neCell">
      <w:rPr>
        <w:color w:val="393838" w:themeColor="text1"/>
      </w:rPr>
    </w:tblStylePr>
    <w:tblStylePr w:type="nwCell">
      <w:rPr>
        <w:color w:val="393838"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93838" w:themeFill="tex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C1B1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A292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A2929" w:themeFill="text1" w:themeFillShade="BF"/>
      </w:tcPr>
    </w:tblStylePr>
    <w:tblStylePr w:type="band1Vert">
      <w:tblPr/>
      <w:tcPr>
        <w:tcBorders>
          <w:top w:val="nil"/>
          <w:left w:val="nil"/>
          <w:bottom w:val="nil"/>
          <w:right w:val="nil"/>
          <w:insideH w:val="nil"/>
          <w:insideV w:val="nil"/>
        </w:tcBorders>
        <w:shd w:val="clear" w:color="auto" w:fill="2A2929" w:themeFill="text1" w:themeFillShade="BF"/>
      </w:tcPr>
    </w:tblStylePr>
    <w:tblStylePr w:type="band1Horz">
      <w:tblPr/>
      <w:tcPr>
        <w:tcBorders>
          <w:top w:val="nil"/>
          <w:left w:val="nil"/>
          <w:bottom w:val="nil"/>
          <w:right w:val="nil"/>
          <w:insideH w:val="nil"/>
          <w:insideV w:val="nil"/>
        </w:tcBorders>
        <w:shd w:val="clear" w:color="auto" w:fill="2A2929"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4F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2726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B3A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B3A3A" w:themeFill="accent1" w:themeFillShade="BF"/>
      </w:tcPr>
    </w:tblStylePr>
    <w:tblStylePr w:type="band1Vert">
      <w:tblPr/>
      <w:tcPr>
        <w:tcBorders>
          <w:top w:val="nil"/>
          <w:left w:val="nil"/>
          <w:bottom w:val="nil"/>
          <w:right w:val="nil"/>
          <w:insideH w:val="nil"/>
          <w:insideV w:val="nil"/>
        </w:tcBorders>
        <w:shd w:val="clear" w:color="auto" w:fill="3B3A3A" w:themeFill="accent1" w:themeFillShade="BF"/>
      </w:tcPr>
    </w:tblStylePr>
    <w:tblStylePr w:type="band1Horz">
      <w:tblPr/>
      <w:tcPr>
        <w:tcBorders>
          <w:top w:val="nil"/>
          <w:left w:val="nil"/>
          <w:bottom w:val="nil"/>
          <w:right w:val="nil"/>
          <w:insideH w:val="nil"/>
          <w:insideV w:val="nil"/>
        </w:tcBorders>
        <w:shd w:val="clear" w:color="auto" w:fill="3B3A3A"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B7A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D3C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C5B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C5B5B" w:themeFill="accent2" w:themeFillShade="BF"/>
      </w:tcPr>
    </w:tblStylePr>
    <w:tblStylePr w:type="band1Vert">
      <w:tblPr/>
      <w:tcPr>
        <w:tcBorders>
          <w:top w:val="nil"/>
          <w:left w:val="nil"/>
          <w:bottom w:val="nil"/>
          <w:right w:val="nil"/>
          <w:insideH w:val="nil"/>
          <w:insideV w:val="nil"/>
        </w:tcBorders>
        <w:shd w:val="clear" w:color="auto" w:fill="5C5B5B" w:themeFill="accent2" w:themeFillShade="BF"/>
      </w:tcPr>
    </w:tblStylePr>
    <w:tblStylePr w:type="band1Horz">
      <w:tblPr/>
      <w:tcPr>
        <w:tcBorders>
          <w:top w:val="nil"/>
          <w:left w:val="nil"/>
          <w:bottom w:val="nil"/>
          <w:right w:val="nil"/>
          <w:insideH w:val="nil"/>
          <w:insideV w:val="nil"/>
        </w:tcBorders>
        <w:shd w:val="clear" w:color="auto" w:fill="5C5B5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A7A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5353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7D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7D7C" w:themeFill="accent3" w:themeFillShade="BF"/>
      </w:tcPr>
    </w:tblStylePr>
    <w:tblStylePr w:type="band1Vert">
      <w:tblPr/>
      <w:tcPr>
        <w:tcBorders>
          <w:top w:val="nil"/>
          <w:left w:val="nil"/>
          <w:bottom w:val="nil"/>
          <w:right w:val="nil"/>
          <w:insideH w:val="nil"/>
          <w:insideV w:val="nil"/>
        </w:tcBorders>
        <w:shd w:val="clear" w:color="auto" w:fill="7D7D7C" w:themeFill="accent3" w:themeFillShade="BF"/>
      </w:tcPr>
    </w:tblStylePr>
    <w:tblStylePr w:type="band1Horz">
      <w:tblPr/>
      <w:tcPr>
        <w:tcBorders>
          <w:top w:val="nil"/>
          <w:left w:val="nil"/>
          <w:bottom w:val="nil"/>
          <w:right w:val="nil"/>
          <w:insideH w:val="nil"/>
          <w:insideV w:val="nil"/>
        </w:tcBorders>
        <w:shd w:val="clear" w:color="auto" w:fill="7D7D7C"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32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accent4" w:themeFillShade="BF"/>
      </w:tcPr>
    </w:tblStylePr>
    <w:tblStylePr w:type="band1Vert">
      <w:tblPr/>
      <w:tcPr>
        <w:tcBorders>
          <w:top w:val="nil"/>
          <w:left w:val="nil"/>
          <w:bottom w:val="nil"/>
          <w:right w:val="nil"/>
          <w:insideH w:val="nil"/>
          <w:insideV w:val="nil"/>
        </w:tcBorders>
        <w:shd w:val="clear" w:color="auto" w:fill="1A1919" w:themeFill="accent4" w:themeFillShade="BF"/>
      </w:tcPr>
    </w:tblStylePr>
    <w:tblStylePr w:type="band1Horz">
      <w:tblPr/>
      <w:tcPr>
        <w:tcBorders>
          <w:top w:val="nil"/>
          <w:left w:val="nil"/>
          <w:bottom w:val="nil"/>
          <w:right w:val="nil"/>
          <w:insideH w:val="nil"/>
          <w:insideV w:val="nil"/>
        </w:tcBorders>
        <w:shd w:val="clear" w:color="auto" w:fill="1A1919"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6564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231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A4A" w:themeFill="accent5" w:themeFillShade="BF"/>
      </w:tcPr>
    </w:tblStylePr>
    <w:tblStylePr w:type="band1Vert">
      <w:tblPr/>
      <w:tcPr>
        <w:tcBorders>
          <w:top w:val="nil"/>
          <w:left w:val="nil"/>
          <w:bottom w:val="nil"/>
          <w:right w:val="nil"/>
          <w:insideH w:val="nil"/>
          <w:insideV w:val="nil"/>
        </w:tcBorders>
        <w:shd w:val="clear" w:color="auto" w:fill="4B4A4A" w:themeFill="accent5" w:themeFillShade="BF"/>
      </w:tcPr>
    </w:tblStylePr>
    <w:tblStylePr w:type="band1Horz">
      <w:tblPr/>
      <w:tcPr>
        <w:tcBorders>
          <w:top w:val="nil"/>
          <w:left w:val="nil"/>
          <w:bottom w:val="nil"/>
          <w:right w:val="nil"/>
          <w:insideH w:val="nil"/>
          <w:insideV w:val="nil"/>
        </w:tcBorders>
        <w:shd w:val="clear" w:color="auto" w:fill="4B4A4A"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91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48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B6B" w:themeFill="accent6" w:themeFillShade="BF"/>
      </w:tcPr>
    </w:tblStylePr>
    <w:tblStylePr w:type="band1Vert">
      <w:tblPr/>
      <w:tcPr>
        <w:tcBorders>
          <w:top w:val="nil"/>
          <w:left w:val="nil"/>
          <w:bottom w:val="nil"/>
          <w:right w:val="nil"/>
          <w:insideH w:val="nil"/>
          <w:insideV w:val="nil"/>
        </w:tcBorders>
        <w:shd w:val="clear" w:color="auto" w:fill="6C6B6B" w:themeFill="accent6" w:themeFillShade="BF"/>
      </w:tcPr>
    </w:tblStylePr>
    <w:tblStylePr w:type="band1Horz">
      <w:tblPr/>
      <w:tcPr>
        <w:tcBorders>
          <w:top w:val="nil"/>
          <w:left w:val="nil"/>
          <w:bottom w:val="nil"/>
          <w:right w:val="nil"/>
          <w:insideH w:val="nil"/>
          <w:insideV w:val="nil"/>
        </w:tcBorders>
        <w:shd w:val="clear" w:color="auto" w:fill="6C6B6B"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B0AEAE" w:themeColor="text1" w:themeTint="66"/>
        <w:left w:val="single" w:sz="4" w:space="0" w:color="B0AEAE" w:themeColor="text1" w:themeTint="66"/>
        <w:bottom w:val="single" w:sz="4" w:space="0" w:color="B0AEAE" w:themeColor="text1" w:themeTint="66"/>
        <w:right w:val="single" w:sz="4" w:space="0" w:color="B0AEAE" w:themeColor="text1" w:themeTint="66"/>
        <w:insideH w:val="single" w:sz="4" w:space="0" w:color="B0AEAE" w:themeColor="text1" w:themeTint="66"/>
        <w:insideV w:val="single" w:sz="4" w:space="0" w:color="B0AEAE" w:themeColor="text1" w:themeTint="66"/>
      </w:tblBorders>
    </w:tblPr>
    <w:tblStylePr w:type="firstRow">
      <w:rPr>
        <w:b/>
        <w:bCs/>
      </w:rPr>
      <w:tblPr/>
      <w:tcPr>
        <w:tcBorders>
          <w:bottom w:val="single" w:sz="12" w:space="0" w:color="898686" w:themeColor="text1" w:themeTint="99"/>
        </w:tcBorders>
      </w:tcPr>
    </w:tblStylePr>
    <w:tblStylePr w:type="lastRow">
      <w:rPr>
        <w:b/>
        <w:bCs/>
      </w:rPr>
      <w:tblPr/>
      <w:tcPr>
        <w:tcBorders>
          <w:top w:val="double" w:sz="2" w:space="0" w:color="8986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B8B7B7" w:themeColor="accent1" w:themeTint="66"/>
        <w:left w:val="single" w:sz="4" w:space="0" w:color="B8B7B7" w:themeColor="accent1" w:themeTint="66"/>
        <w:bottom w:val="single" w:sz="4" w:space="0" w:color="B8B7B7" w:themeColor="accent1" w:themeTint="66"/>
        <w:right w:val="single" w:sz="4" w:space="0" w:color="B8B7B7" w:themeColor="accent1" w:themeTint="66"/>
        <w:insideH w:val="single" w:sz="4" w:space="0" w:color="B8B7B7" w:themeColor="accent1" w:themeTint="66"/>
        <w:insideV w:val="single" w:sz="4" w:space="0" w:color="B8B7B7" w:themeColor="accent1" w:themeTint="66"/>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2" w:space="0" w:color="95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AC9C9" w:themeColor="accent2" w:themeTint="66"/>
        <w:left w:val="single" w:sz="4" w:space="0" w:color="CAC9C9" w:themeColor="accent2" w:themeTint="66"/>
        <w:bottom w:val="single" w:sz="4" w:space="0" w:color="CAC9C9" w:themeColor="accent2" w:themeTint="66"/>
        <w:right w:val="single" w:sz="4" w:space="0" w:color="CAC9C9" w:themeColor="accent2" w:themeTint="66"/>
        <w:insideH w:val="single" w:sz="4" w:space="0" w:color="CAC9C9" w:themeColor="accent2" w:themeTint="66"/>
        <w:insideV w:val="single" w:sz="4" w:space="0" w:color="CAC9C9" w:themeColor="accent2" w:themeTint="66"/>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2" w:space="0" w:color="AFAFA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2" w:space="0" w:color="CACA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A8A5A5" w:themeColor="accent4" w:themeTint="66"/>
        <w:left w:val="single" w:sz="4" w:space="0" w:color="A8A5A5" w:themeColor="accent4" w:themeTint="66"/>
        <w:bottom w:val="single" w:sz="4" w:space="0" w:color="A8A5A5" w:themeColor="accent4" w:themeTint="66"/>
        <w:right w:val="single" w:sz="4" w:space="0" w:color="A8A5A5" w:themeColor="accent4" w:themeTint="66"/>
        <w:insideH w:val="single" w:sz="4" w:space="0" w:color="A8A5A5" w:themeColor="accent4" w:themeTint="66"/>
        <w:insideV w:val="single" w:sz="4" w:space="0" w:color="A8A5A5" w:themeColor="accent4" w:themeTint="66"/>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2" w:space="0" w:color="7C79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1C0C0" w:themeColor="accent5" w:themeTint="66"/>
        <w:left w:val="single" w:sz="4" w:space="0" w:color="C1C0C0" w:themeColor="accent5" w:themeTint="66"/>
        <w:bottom w:val="single" w:sz="4" w:space="0" w:color="C1C0C0" w:themeColor="accent5" w:themeTint="66"/>
        <w:right w:val="single" w:sz="4" w:space="0" w:color="C1C0C0" w:themeColor="accent5" w:themeTint="66"/>
        <w:insideH w:val="single" w:sz="4" w:space="0" w:color="C1C0C0" w:themeColor="accent5" w:themeTint="66"/>
        <w:insideV w:val="single" w:sz="4" w:space="0" w:color="C1C0C0" w:themeColor="accent5" w:themeTint="66"/>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2" w:space="0" w:color="A2A1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3D2D2" w:themeColor="accent6" w:themeTint="66"/>
        <w:left w:val="single" w:sz="4" w:space="0" w:color="D3D2D2" w:themeColor="accent6" w:themeTint="66"/>
        <w:bottom w:val="single" w:sz="4" w:space="0" w:color="D3D2D2" w:themeColor="accent6" w:themeTint="66"/>
        <w:right w:val="single" w:sz="4" w:space="0" w:color="D3D2D2" w:themeColor="accent6" w:themeTint="66"/>
        <w:insideH w:val="single" w:sz="4" w:space="0" w:color="D3D2D2" w:themeColor="accent6" w:themeTint="66"/>
        <w:insideV w:val="single" w:sz="4" w:space="0" w:color="D3D2D2" w:themeColor="accent6" w:themeTint="66"/>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2" w:space="0" w:color="BD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98686" w:themeColor="text1" w:themeTint="99"/>
        <w:bottom w:val="single" w:sz="2" w:space="0" w:color="898686" w:themeColor="text1" w:themeTint="99"/>
        <w:insideH w:val="single" w:sz="2" w:space="0" w:color="898686" w:themeColor="text1" w:themeTint="99"/>
        <w:insideV w:val="single" w:sz="2" w:space="0" w:color="898686" w:themeColor="text1" w:themeTint="99"/>
      </w:tblBorders>
    </w:tblPr>
    <w:tblStylePr w:type="firstRow">
      <w:rPr>
        <w:b/>
        <w:bCs/>
      </w:rPr>
      <w:tblPr/>
      <w:tcPr>
        <w:tcBorders>
          <w:top w:val="nil"/>
          <w:bottom w:val="single" w:sz="12" w:space="0" w:color="898686" w:themeColor="text1" w:themeTint="99"/>
          <w:insideH w:val="nil"/>
          <w:insideV w:val="nil"/>
        </w:tcBorders>
        <w:shd w:val="clear" w:color="auto" w:fill="FFFFFF" w:themeFill="background1"/>
      </w:tcPr>
    </w:tblStylePr>
    <w:tblStylePr w:type="lastRow">
      <w:rPr>
        <w:b/>
        <w:bCs/>
      </w:rPr>
      <w:tblPr/>
      <w:tcPr>
        <w:tcBorders>
          <w:top w:val="double" w:sz="2" w:space="0" w:color="8986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959494" w:themeColor="accent1" w:themeTint="99"/>
        <w:bottom w:val="single" w:sz="2" w:space="0" w:color="959494" w:themeColor="accent1" w:themeTint="99"/>
        <w:insideH w:val="single" w:sz="2" w:space="0" w:color="959494" w:themeColor="accent1" w:themeTint="99"/>
        <w:insideV w:val="single" w:sz="2" w:space="0" w:color="959494" w:themeColor="accent1" w:themeTint="99"/>
      </w:tblBorders>
    </w:tblPr>
    <w:tblStylePr w:type="firstRow">
      <w:rPr>
        <w:b/>
        <w:bCs/>
      </w:rPr>
      <w:tblPr/>
      <w:tcPr>
        <w:tcBorders>
          <w:top w:val="nil"/>
          <w:bottom w:val="single" w:sz="12" w:space="0" w:color="959494" w:themeColor="accent1" w:themeTint="99"/>
          <w:insideH w:val="nil"/>
          <w:insideV w:val="nil"/>
        </w:tcBorders>
        <w:shd w:val="clear" w:color="auto" w:fill="FFFFFF" w:themeFill="background1"/>
      </w:tcPr>
    </w:tblStylePr>
    <w:tblStylePr w:type="lastRow">
      <w:rPr>
        <w:b/>
        <w:bCs/>
      </w:rPr>
      <w:tblPr/>
      <w:tcPr>
        <w:tcBorders>
          <w:top w:val="double" w:sz="2" w:space="0" w:color="95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FAFAF" w:themeColor="accent2" w:themeTint="99"/>
        <w:bottom w:val="single" w:sz="2" w:space="0" w:color="AFAFAF" w:themeColor="accent2" w:themeTint="99"/>
        <w:insideH w:val="single" w:sz="2" w:space="0" w:color="AFAFAF" w:themeColor="accent2" w:themeTint="99"/>
        <w:insideV w:val="single" w:sz="2" w:space="0" w:color="AFAFAF" w:themeColor="accent2" w:themeTint="99"/>
      </w:tblBorders>
    </w:tblPr>
    <w:tblStylePr w:type="firstRow">
      <w:rPr>
        <w:b/>
        <w:bCs/>
      </w:rPr>
      <w:tblPr/>
      <w:tcPr>
        <w:tcBorders>
          <w:top w:val="nil"/>
          <w:bottom w:val="single" w:sz="12" w:space="0" w:color="AFAFAF" w:themeColor="accent2" w:themeTint="99"/>
          <w:insideH w:val="nil"/>
          <w:insideV w:val="nil"/>
        </w:tcBorders>
        <w:shd w:val="clear" w:color="auto" w:fill="FFFFFF" w:themeFill="background1"/>
      </w:tcPr>
    </w:tblStylePr>
    <w:tblStylePr w:type="lastRow">
      <w:rPr>
        <w:b/>
        <w:bCs/>
      </w:rPr>
      <w:tblPr/>
      <w:tcPr>
        <w:tcBorders>
          <w:top w:val="double" w:sz="2" w:space="0" w:color="AFAFA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ACAC9" w:themeColor="accent3" w:themeTint="99"/>
        <w:bottom w:val="single" w:sz="2" w:space="0" w:color="CACAC9" w:themeColor="accent3" w:themeTint="99"/>
        <w:insideH w:val="single" w:sz="2" w:space="0" w:color="CACAC9" w:themeColor="accent3" w:themeTint="99"/>
        <w:insideV w:val="single" w:sz="2" w:space="0" w:color="CACAC9" w:themeColor="accent3" w:themeTint="99"/>
      </w:tblBorders>
    </w:tblPr>
    <w:tblStylePr w:type="firstRow">
      <w:rPr>
        <w:b/>
        <w:bCs/>
      </w:rPr>
      <w:tblPr/>
      <w:tcPr>
        <w:tcBorders>
          <w:top w:val="nil"/>
          <w:bottom w:val="single" w:sz="12" w:space="0" w:color="CACAC9" w:themeColor="accent3" w:themeTint="99"/>
          <w:insideH w:val="nil"/>
          <w:insideV w:val="nil"/>
        </w:tcBorders>
        <w:shd w:val="clear" w:color="auto" w:fill="FFFFFF" w:themeFill="background1"/>
      </w:tcPr>
    </w:tblStylePr>
    <w:tblStylePr w:type="lastRow">
      <w:rPr>
        <w:b/>
        <w:bCs/>
      </w:rPr>
      <w:tblPr/>
      <w:tcPr>
        <w:tcBorders>
          <w:top w:val="double" w:sz="2" w:space="0" w:color="CACA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7C7979" w:themeColor="accent4" w:themeTint="99"/>
        <w:bottom w:val="single" w:sz="2" w:space="0" w:color="7C7979" w:themeColor="accent4" w:themeTint="99"/>
        <w:insideH w:val="single" w:sz="2" w:space="0" w:color="7C7979" w:themeColor="accent4" w:themeTint="99"/>
        <w:insideV w:val="single" w:sz="2" w:space="0" w:color="7C7979" w:themeColor="accent4" w:themeTint="99"/>
      </w:tblBorders>
    </w:tblPr>
    <w:tblStylePr w:type="firstRow">
      <w:rPr>
        <w:b/>
        <w:bCs/>
      </w:rPr>
      <w:tblPr/>
      <w:tcPr>
        <w:tcBorders>
          <w:top w:val="nil"/>
          <w:bottom w:val="single" w:sz="12" w:space="0" w:color="7C7979" w:themeColor="accent4" w:themeTint="99"/>
          <w:insideH w:val="nil"/>
          <w:insideV w:val="nil"/>
        </w:tcBorders>
        <w:shd w:val="clear" w:color="auto" w:fill="FFFFFF" w:themeFill="background1"/>
      </w:tcPr>
    </w:tblStylePr>
    <w:tblStylePr w:type="lastRow">
      <w:rPr>
        <w:b/>
        <w:bCs/>
      </w:rPr>
      <w:tblPr/>
      <w:tcPr>
        <w:tcBorders>
          <w:top w:val="double" w:sz="2" w:space="0" w:color="7C79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A2A1A1" w:themeColor="accent5" w:themeTint="99"/>
        <w:bottom w:val="single" w:sz="2" w:space="0" w:color="A2A1A1" w:themeColor="accent5" w:themeTint="99"/>
        <w:insideH w:val="single" w:sz="2" w:space="0" w:color="A2A1A1" w:themeColor="accent5" w:themeTint="99"/>
        <w:insideV w:val="single" w:sz="2" w:space="0" w:color="A2A1A1" w:themeColor="accent5" w:themeTint="99"/>
      </w:tblBorders>
    </w:tblPr>
    <w:tblStylePr w:type="firstRow">
      <w:rPr>
        <w:b/>
        <w:bCs/>
      </w:rPr>
      <w:tblPr/>
      <w:tcPr>
        <w:tcBorders>
          <w:top w:val="nil"/>
          <w:bottom w:val="single" w:sz="12" w:space="0" w:color="A2A1A1" w:themeColor="accent5" w:themeTint="99"/>
          <w:insideH w:val="nil"/>
          <w:insideV w:val="nil"/>
        </w:tcBorders>
        <w:shd w:val="clear" w:color="auto" w:fill="FFFFFF" w:themeFill="background1"/>
      </w:tcPr>
    </w:tblStylePr>
    <w:tblStylePr w:type="lastRow">
      <w:rPr>
        <w:b/>
        <w:bCs/>
      </w:rPr>
      <w:tblPr/>
      <w:tcPr>
        <w:tcBorders>
          <w:top w:val="double" w:sz="2" w:space="0" w:color="A2A1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BDBCBC" w:themeColor="accent6" w:themeTint="99"/>
        <w:bottom w:val="single" w:sz="2" w:space="0" w:color="BDBCBC" w:themeColor="accent6" w:themeTint="99"/>
        <w:insideH w:val="single" w:sz="2" w:space="0" w:color="BDBCBC" w:themeColor="accent6" w:themeTint="99"/>
        <w:insideV w:val="single" w:sz="2" w:space="0" w:color="BDBCBC" w:themeColor="accent6" w:themeTint="99"/>
      </w:tblBorders>
    </w:tblPr>
    <w:tblStylePr w:type="firstRow">
      <w:rPr>
        <w:b/>
        <w:bCs/>
      </w:rPr>
      <w:tblPr/>
      <w:tcPr>
        <w:tcBorders>
          <w:top w:val="nil"/>
          <w:bottom w:val="single" w:sz="12" w:space="0" w:color="BDBCBC" w:themeColor="accent6" w:themeTint="99"/>
          <w:insideH w:val="nil"/>
          <w:insideV w:val="nil"/>
        </w:tcBorders>
        <w:shd w:val="clear" w:color="auto" w:fill="FFFFFF" w:themeFill="background1"/>
      </w:tcPr>
    </w:tblStylePr>
    <w:tblStylePr w:type="lastRow">
      <w:rPr>
        <w:b/>
        <w:bCs/>
      </w:rPr>
      <w:tblPr/>
      <w:tcPr>
        <w:tcBorders>
          <w:top w:val="double" w:sz="2" w:space="0" w:color="BD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insideV w:val="nil"/>
        </w:tcBorders>
        <w:shd w:val="clear" w:color="auto" w:fill="393838" w:themeFill="text1"/>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insideV w:val="nil"/>
        </w:tcBorders>
        <w:shd w:val="clear" w:color="auto" w:fill="4F4E4E" w:themeFill="accent1"/>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insideV w:val="nil"/>
        </w:tcBorders>
        <w:shd w:val="clear" w:color="auto" w:fill="7B7A7A" w:themeFill="accent2"/>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insideV w:val="nil"/>
        </w:tcBorders>
        <w:shd w:val="clear" w:color="auto" w:fill="A7A7A6" w:themeFill="accent3"/>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insideV w:val="nil"/>
        </w:tcBorders>
        <w:shd w:val="clear" w:color="auto" w:fill="232222" w:themeFill="accent4"/>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insideV w:val="nil"/>
        </w:tcBorders>
        <w:shd w:val="clear" w:color="auto" w:fill="656464" w:themeFill="accent5"/>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insideV w:val="nil"/>
        </w:tcBorders>
        <w:shd w:val="clear" w:color="auto" w:fill="919090" w:themeFill="accent6"/>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383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383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383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3838" w:themeFill="text1"/>
      </w:tcPr>
    </w:tblStylePr>
    <w:tblStylePr w:type="band1Vert">
      <w:tblPr/>
      <w:tcPr>
        <w:shd w:val="clear" w:color="auto" w:fill="B0AEAE" w:themeFill="text1" w:themeFillTint="66"/>
      </w:tcPr>
    </w:tblStylePr>
    <w:tblStylePr w:type="band1Horz">
      <w:tblPr/>
      <w:tcPr>
        <w:shd w:val="clear" w:color="auto" w:fill="B0AEAE"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4E4E" w:themeFill="accent1"/>
      </w:tcPr>
    </w:tblStylePr>
    <w:tblStylePr w:type="band1Vert">
      <w:tblPr/>
      <w:tcPr>
        <w:shd w:val="clear" w:color="auto" w:fill="B8B7B7" w:themeFill="accent1" w:themeFillTint="66"/>
      </w:tcPr>
    </w:tblStylePr>
    <w:tblStylePr w:type="band1Horz">
      <w:tblPr/>
      <w:tcPr>
        <w:shd w:val="clear" w:color="auto" w:fill="B8B7B7"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7A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7A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7A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7A7A" w:themeFill="accent2"/>
      </w:tcPr>
    </w:tblStylePr>
    <w:tblStylePr w:type="band1Vert">
      <w:tblPr/>
      <w:tcPr>
        <w:shd w:val="clear" w:color="auto" w:fill="CAC9C9" w:themeFill="accent2" w:themeFillTint="66"/>
      </w:tcPr>
    </w:tblStylePr>
    <w:tblStylePr w:type="band1Horz">
      <w:tblPr/>
      <w:tcPr>
        <w:shd w:val="clear" w:color="auto" w:fill="CAC9C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7A6"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accent4"/>
      </w:tcPr>
    </w:tblStylePr>
    <w:tblStylePr w:type="band1Vert">
      <w:tblPr/>
      <w:tcPr>
        <w:shd w:val="clear" w:color="auto" w:fill="A8A5A5" w:themeFill="accent4" w:themeFillTint="66"/>
      </w:tcPr>
    </w:tblStylePr>
    <w:tblStylePr w:type="band1Horz">
      <w:tblPr/>
      <w:tcPr>
        <w:shd w:val="clear" w:color="auto" w:fill="A8A5A5"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464" w:themeFill="accent5"/>
      </w:tcPr>
    </w:tblStylePr>
    <w:tblStylePr w:type="band1Vert">
      <w:tblPr/>
      <w:tcPr>
        <w:shd w:val="clear" w:color="auto" w:fill="C1C0C0" w:themeFill="accent5" w:themeFillTint="66"/>
      </w:tcPr>
    </w:tblStylePr>
    <w:tblStylePr w:type="band1Horz">
      <w:tblPr/>
      <w:tcPr>
        <w:shd w:val="clear" w:color="auto" w:fill="C1C0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090" w:themeFill="accent6"/>
      </w:tcPr>
    </w:tblStylePr>
    <w:tblStylePr w:type="band1Vert">
      <w:tblPr/>
      <w:tcPr>
        <w:shd w:val="clear" w:color="auto" w:fill="D3D2D2" w:themeFill="accent6" w:themeFillTint="66"/>
      </w:tcPr>
    </w:tblStylePr>
    <w:tblStylePr w:type="band1Horz">
      <w:tblPr/>
      <w:tcPr>
        <w:shd w:val="clear" w:color="auto" w:fill="D3D2D2"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bottom w:val="single" w:sz="12" w:space="0" w:color="898686" w:themeColor="text1" w:themeTint="99"/>
        </w:tcBorders>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18" w:space="0" w:color="393838" w:themeColor="text1"/>
          <w:right w:val="single" w:sz="8" w:space="0" w:color="393838" w:themeColor="text1"/>
          <w:insideH w:val="nil"/>
          <w:insideV w:val="single" w:sz="8" w:space="0" w:color="39383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insideH w:val="nil"/>
          <w:insideV w:val="single" w:sz="8" w:space="0" w:color="39383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shd w:val="clear" w:color="auto" w:fill="CECDCD" w:themeFill="text1" w:themeFillTint="3F"/>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shd w:val="clear" w:color="auto" w:fill="CECDCD" w:themeFill="text1" w:themeFillTint="3F"/>
      </w:tcPr>
    </w:tblStylePr>
    <w:tblStylePr w:type="band2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18" w:space="0" w:color="4F4E4E" w:themeColor="accent1"/>
          <w:right w:val="single" w:sz="8" w:space="0" w:color="4F4E4E" w:themeColor="accent1"/>
          <w:insideH w:val="nil"/>
          <w:insideV w:val="single" w:sz="8" w:space="0" w:color="4F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insideH w:val="nil"/>
          <w:insideV w:val="single" w:sz="8" w:space="0" w:color="4F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shd w:val="clear" w:color="auto" w:fill="D3D3D3" w:themeFill="accent1" w:themeFillTint="3F"/>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shd w:val="clear" w:color="auto" w:fill="D3D3D3" w:themeFill="accent1" w:themeFillTint="3F"/>
      </w:tcPr>
    </w:tblStylePr>
    <w:tblStylePr w:type="band2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18" w:space="0" w:color="7B7A7A" w:themeColor="accent2"/>
          <w:right w:val="single" w:sz="8" w:space="0" w:color="7B7A7A" w:themeColor="accent2"/>
          <w:insideH w:val="nil"/>
          <w:insideV w:val="single" w:sz="8" w:space="0" w:color="7B7A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insideH w:val="nil"/>
          <w:insideV w:val="single" w:sz="8" w:space="0" w:color="7B7A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shd w:val="clear" w:color="auto" w:fill="DEDEDE" w:themeFill="accent2" w:themeFillTint="3F"/>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shd w:val="clear" w:color="auto" w:fill="DEDEDE" w:themeFill="accent2" w:themeFillTint="3F"/>
      </w:tcPr>
    </w:tblStylePr>
    <w:tblStylePr w:type="band2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18" w:space="0" w:color="A7A7A6" w:themeColor="accent3"/>
          <w:right w:val="single" w:sz="8" w:space="0" w:color="A7A7A6" w:themeColor="accent3"/>
          <w:insideH w:val="nil"/>
          <w:insideV w:val="single" w:sz="8" w:space="0" w:color="A7A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insideH w:val="nil"/>
          <w:insideV w:val="single" w:sz="8" w:space="0" w:color="A7A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shd w:val="clear" w:color="auto" w:fill="E9E9E8" w:themeFill="accent3" w:themeFillTint="3F"/>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shd w:val="clear" w:color="auto" w:fill="E9E9E8" w:themeFill="accent3" w:themeFillTint="3F"/>
      </w:tcPr>
    </w:tblStylePr>
    <w:tblStylePr w:type="band2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18" w:space="0" w:color="232222" w:themeColor="accent4"/>
          <w:right w:val="single" w:sz="8" w:space="0" w:color="232222" w:themeColor="accent4"/>
          <w:insideH w:val="nil"/>
          <w:insideV w:val="single" w:sz="8" w:space="0" w:color="232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insideH w:val="nil"/>
          <w:insideV w:val="single" w:sz="8" w:space="0" w:color="232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shd w:val="clear" w:color="auto" w:fill="C9C7C7" w:themeFill="accent4" w:themeFillTint="3F"/>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shd w:val="clear" w:color="auto" w:fill="C9C7C7" w:themeFill="accent4" w:themeFillTint="3F"/>
      </w:tcPr>
    </w:tblStylePr>
    <w:tblStylePr w:type="band2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18" w:space="0" w:color="656464" w:themeColor="accent5"/>
          <w:right w:val="single" w:sz="8" w:space="0" w:color="656464" w:themeColor="accent5"/>
          <w:insideH w:val="nil"/>
          <w:insideV w:val="single" w:sz="8" w:space="0" w:color="6564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insideH w:val="nil"/>
          <w:insideV w:val="single" w:sz="8" w:space="0" w:color="6564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shd w:val="clear" w:color="auto" w:fill="D9D8D8" w:themeFill="accent5" w:themeFillTint="3F"/>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shd w:val="clear" w:color="auto" w:fill="D9D8D8" w:themeFill="accent5" w:themeFillTint="3F"/>
      </w:tcPr>
    </w:tblStylePr>
    <w:tblStylePr w:type="band2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18" w:space="0" w:color="919090" w:themeColor="accent6"/>
          <w:right w:val="single" w:sz="8" w:space="0" w:color="919090" w:themeColor="accent6"/>
          <w:insideH w:val="nil"/>
          <w:insideV w:val="single" w:sz="8" w:space="0" w:color="91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insideH w:val="nil"/>
          <w:insideV w:val="single" w:sz="8" w:space="0" w:color="91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shd w:val="clear" w:color="auto" w:fill="E3E3E3" w:themeFill="accent6" w:themeFillTint="3F"/>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shd w:val="clear" w:color="auto" w:fill="E3E3E3" w:themeFill="accent6" w:themeFillTint="3F"/>
      </w:tcPr>
    </w:tblStylePr>
    <w:tblStylePr w:type="band2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pPr>
        <w:spacing w:before="0" w:after="0" w:line="240" w:lineRule="auto"/>
      </w:pPr>
      <w:rPr>
        <w:b/>
        <w:bCs/>
        <w:color w:val="FFFFFF" w:themeColor="background1"/>
      </w:rPr>
      <w:tblPr/>
      <w:tcPr>
        <w:shd w:val="clear" w:color="auto" w:fill="393838" w:themeFill="text1"/>
      </w:tcPr>
    </w:tblStylePr>
    <w:tblStylePr w:type="lastRow">
      <w:pPr>
        <w:spacing w:before="0" w:after="0" w:line="240" w:lineRule="auto"/>
      </w:pPr>
      <w:rPr>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tcBorders>
      </w:tcPr>
    </w:tblStylePr>
    <w:tblStylePr w:type="firstCol">
      <w:rPr>
        <w:b/>
        <w:bCs/>
      </w:rPr>
    </w:tblStylePr>
    <w:tblStylePr w:type="lastCol">
      <w:rPr>
        <w:b/>
        <w:bCs/>
      </w:r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pPr>
        <w:spacing w:before="0" w:after="0" w:line="240" w:lineRule="auto"/>
      </w:pPr>
      <w:rPr>
        <w:b/>
        <w:bCs/>
        <w:color w:val="FFFFFF" w:themeColor="background1"/>
      </w:rPr>
      <w:tblPr/>
      <w:tcPr>
        <w:shd w:val="clear" w:color="auto" w:fill="4F4E4E" w:themeFill="accent1"/>
      </w:tcPr>
    </w:tblStylePr>
    <w:tblStylePr w:type="lastRow">
      <w:pPr>
        <w:spacing w:before="0" w:after="0" w:line="240" w:lineRule="auto"/>
      </w:pPr>
      <w:rPr>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tcBorders>
      </w:tcPr>
    </w:tblStylePr>
    <w:tblStylePr w:type="firstCol">
      <w:rPr>
        <w:b/>
        <w:bCs/>
      </w:rPr>
    </w:tblStylePr>
    <w:tblStylePr w:type="lastCol">
      <w:rPr>
        <w:b/>
        <w:bCs/>
      </w:r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tcBorders>
      </w:tcPr>
    </w:tblStylePr>
    <w:tblStylePr w:type="firstCol">
      <w:rPr>
        <w:b/>
        <w:bCs/>
      </w:rPr>
    </w:tblStylePr>
    <w:tblStylePr w:type="lastCol">
      <w:rPr>
        <w:b/>
        <w:bCs/>
      </w:r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pPr>
        <w:spacing w:before="0" w:after="0" w:line="240" w:lineRule="auto"/>
      </w:pPr>
      <w:rPr>
        <w:b/>
        <w:bCs/>
        <w:color w:val="FFFFFF" w:themeColor="background1"/>
      </w:rPr>
      <w:tblPr/>
      <w:tcPr>
        <w:shd w:val="clear" w:color="auto" w:fill="A7A7A6" w:themeFill="accent3"/>
      </w:tcPr>
    </w:tblStylePr>
    <w:tblStylePr w:type="lastRow">
      <w:pPr>
        <w:spacing w:before="0" w:after="0" w:line="240" w:lineRule="auto"/>
      </w:pPr>
      <w:rPr>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tcBorders>
      </w:tcPr>
    </w:tblStylePr>
    <w:tblStylePr w:type="firstCol">
      <w:rPr>
        <w:b/>
        <w:bCs/>
      </w:rPr>
    </w:tblStylePr>
    <w:tblStylePr w:type="lastCol">
      <w:rPr>
        <w:b/>
        <w:bCs/>
      </w:r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pPr>
        <w:spacing w:before="0" w:after="0" w:line="240" w:lineRule="auto"/>
      </w:pPr>
      <w:rPr>
        <w:b/>
        <w:bCs/>
        <w:color w:val="FFFFFF" w:themeColor="background1"/>
      </w:rPr>
      <w:tblPr/>
      <w:tcPr>
        <w:shd w:val="clear" w:color="auto" w:fill="232222" w:themeFill="accent4"/>
      </w:tcPr>
    </w:tblStylePr>
    <w:tblStylePr w:type="lastRow">
      <w:pPr>
        <w:spacing w:before="0" w:after="0" w:line="240" w:lineRule="auto"/>
      </w:pPr>
      <w:rPr>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tcBorders>
      </w:tcPr>
    </w:tblStylePr>
    <w:tblStylePr w:type="firstCol">
      <w:rPr>
        <w:b/>
        <w:bCs/>
      </w:rPr>
    </w:tblStylePr>
    <w:tblStylePr w:type="lastCol">
      <w:rPr>
        <w:b/>
        <w:bCs/>
      </w:r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pPr>
        <w:spacing w:before="0" w:after="0" w:line="240" w:lineRule="auto"/>
      </w:pPr>
      <w:rPr>
        <w:b/>
        <w:bCs/>
        <w:color w:val="FFFFFF" w:themeColor="background1"/>
      </w:rPr>
      <w:tblPr/>
      <w:tcPr>
        <w:shd w:val="clear" w:color="auto" w:fill="656464" w:themeFill="accent5"/>
      </w:tcPr>
    </w:tblStylePr>
    <w:tblStylePr w:type="lastRow">
      <w:pPr>
        <w:spacing w:before="0" w:after="0" w:line="240" w:lineRule="auto"/>
      </w:pPr>
      <w:rPr>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tcBorders>
      </w:tcPr>
    </w:tblStylePr>
    <w:tblStylePr w:type="firstCol">
      <w:rPr>
        <w:b/>
        <w:bCs/>
      </w:rPr>
    </w:tblStylePr>
    <w:tblStylePr w:type="lastCol">
      <w:rPr>
        <w:b/>
        <w:bCs/>
      </w:r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pPr>
        <w:spacing w:before="0" w:after="0" w:line="240" w:lineRule="auto"/>
      </w:pPr>
      <w:rPr>
        <w:b/>
        <w:bCs/>
        <w:color w:val="FFFFFF" w:themeColor="background1"/>
      </w:rPr>
      <w:tblPr/>
      <w:tcPr>
        <w:shd w:val="clear" w:color="auto" w:fill="919090" w:themeFill="accent6"/>
      </w:tcPr>
    </w:tblStylePr>
    <w:tblStylePr w:type="lastRow">
      <w:pPr>
        <w:spacing w:before="0" w:after="0" w:line="240" w:lineRule="auto"/>
      </w:pPr>
      <w:rPr>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tcBorders>
      </w:tcPr>
    </w:tblStylePr>
    <w:tblStylePr w:type="firstCol">
      <w:rPr>
        <w:b/>
        <w:bCs/>
      </w:rPr>
    </w:tblStylePr>
    <w:tblStylePr w:type="lastCol">
      <w:rPr>
        <w:b/>
        <w:bCs/>
      </w:r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style>
  <w:style w:type="table" w:styleId="LightShading">
    <w:name w:val="Light Shading"/>
    <w:basedOn w:val="TableNormal"/>
    <w:uiPriority w:val="60"/>
    <w:semiHidden/>
    <w:rsid w:val="0021343A"/>
    <w:pPr>
      <w:spacing w:line="240" w:lineRule="auto"/>
    </w:pPr>
    <w:rPr>
      <w:color w:val="2A2929" w:themeColor="text1" w:themeShade="BF"/>
    </w:rPr>
    <w:tblPr>
      <w:tblStyleRowBandSize w:val="1"/>
      <w:tblStyleColBandSize w:val="1"/>
      <w:tblBorders>
        <w:top w:val="single" w:sz="8" w:space="0" w:color="393838" w:themeColor="text1"/>
        <w:bottom w:val="single" w:sz="8" w:space="0" w:color="393838" w:themeColor="text1"/>
      </w:tblBorders>
    </w:tblPr>
    <w:tblStylePr w:type="fir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la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left w:val="nil"/>
          <w:right w:val="nil"/>
          <w:insideH w:val="nil"/>
          <w:insideV w:val="nil"/>
        </w:tcBorders>
        <w:shd w:val="clear" w:color="auto" w:fill="CECDCD" w:themeFill="text1" w:themeFillTint="3F"/>
      </w:tcPr>
    </w:tblStylePr>
  </w:style>
  <w:style w:type="table" w:styleId="LightShading-Accent1">
    <w:name w:val="Light Shading Accent 1"/>
    <w:basedOn w:val="TableNormal"/>
    <w:uiPriority w:val="60"/>
    <w:semiHidden/>
    <w:rsid w:val="0021343A"/>
    <w:pPr>
      <w:spacing w:line="240" w:lineRule="auto"/>
    </w:pPr>
    <w:rPr>
      <w:color w:val="3B3A3A" w:themeColor="accent1" w:themeShade="BF"/>
    </w:rPr>
    <w:tblPr>
      <w:tblStyleRowBandSize w:val="1"/>
      <w:tblStyleColBandSize w:val="1"/>
      <w:tblBorders>
        <w:top w:val="single" w:sz="8" w:space="0" w:color="4F4E4E" w:themeColor="accent1"/>
        <w:bottom w:val="single" w:sz="8" w:space="0" w:color="4F4E4E" w:themeColor="accent1"/>
      </w:tblBorders>
    </w:tblPr>
    <w:tblStylePr w:type="fir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la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left w:val="nil"/>
          <w:right w:val="nil"/>
          <w:insideH w:val="nil"/>
          <w:insideV w:val="nil"/>
        </w:tcBorders>
        <w:shd w:val="clear" w:color="auto" w:fill="D3D3D3" w:themeFill="accent1" w:themeFillTint="3F"/>
      </w:tcPr>
    </w:tblStylePr>
  </w:style>
  <w:style w:type="table" w:styleId="LightShading-Accent2">
    <w:name w:val="Light Shading Accent 2"/>
    <w:basedOn w:val="TableNormal"/>
    <w:uiPriority w:val="60"/>
    <w:semiHidden/>
    <w:rsid w:val="0021343A"/>
    <w:pPr>
      <w:spacing w:line="240" w:lineRule="auto"/>
    </w:pPr>
    <w:rPr>
      <w:color w:val="5C5B5B" w:themeColor="accent2" w:themeShade="BF"/>
    </w:rPr>
    <w:tblPr>
      <w:tblStyleRowBandSize w:val="1"/>
      <w:tblStyleColBandSize w:val="1"/>
      <w:tblBorders>
        <w:top w:val="single" w:sz="8" w:space="0" w:color="7B7A7A" w:themeColor="accent2"/>
        <w:bottom w:val="single" w:sz="8" w:space="0" w:color="7B7A7A" w:themeColor="accent2"/>
      </w:tblBorders>
    </w:tblPr>
    <w:tblStylePr w:type="fir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la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rsid w:val="0021343A"/>
    <w:pPr>
      <w:spacing w:line="240" w:lineRule="auto"/>
    </w:pPr>
    <w:rPr>
      <w:color w:val="7D7D7C" w:themeColor="accent3" w:themeShade="BF"/>
    </w:rPr>
    <w:tblPr>
      <w:tblStyleRowBandSize w:val="1"/>
      <w:tblStyleColBandSize w:val="1"/>
      <w:tblBorders>
        <w:top w:val="single" w:sz="8" w:space="0" w:color="A7A7A6" w:themeColor="accent3"/>
        <w:bottom w:val="single" w:sz="8" w:space="0" w:color="A7A7A6" w:themeColor="accent3"/>
      </w:tblBorders>
    </w:tblPr>
    <w:tblStylePr w:type="fir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la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left w:val="nil"/>
          <w:right w:val="nil"/>
          <w:insideH w:val="nil"/>
          <w:insideV w:val="nil"/>
        </w:tcBorders>
        <w:shd w:val="clear" w:color="auto" w:fill="E9E9E8" w:themeFill="accent3" w:themeFillTint="3F"/>
      </w:tcPr>
    </w:tblStylePr>
  </w:style>
  <w:style w:type="table" w:styleId="LightShading-Accent4">
    <w:name w:val="Light Shading Accent 4"/>
    <w:basedOn w:val="TableNormal"/>
    <w:uiPriority w:val="60"/>
    <w:semiHidden/>
    <w:rsid w:val="0021343A"/>
    <w:pPr>
      <w:spacing w:line="240" w:lineRule="auto"/>
    </w:pPr>
    <w:rPr>
      <w:color w:val="1A1919" w:themeColor="accent4" w:themeShade="BF"/>
    </w:rPr>
    <w:tblPr>
      <w:tblStyleRowBandSize w:val="1"/>
      <w:tblStyleColBandSize w:val="1"/>
      <w:tblBorders>
        <w:top w:val="single" w:sz="8" w:space="0" w:color="232222" w:themeColor="accent4"/>
        <w:bottom w:val="single" w:sz="8" w:space="0" w:color="232222" w:themeColor="accent4"/>
      </w:tblBorders>
    </w:tblPr>
    <w:tblStylePr w:type="fir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la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left w:val="nil"/>
          <w:right w:val="nil"/>
          <w:insideH w:val="nil"/>
          <w:insideV w:val="nil"/>
        </w:tcBorders>
        <w:shd w:val="clear" w:color="auto" w:fill="C9C7C7" w:themeFill="accent4" w:themeFillTint="3F"/>
      </w:tcPr>
    </w:tblStylePr>
  </w:style>
  <w:style w:type="table" w:styleId="LightShading-Accent5">
    <w:name w:val="Light Shading Accent 5"/>
    <w:basedOn w:val="TableNormal"/>
    <w:uiPriority w:val="60"/>
    <w:semiHidden/>
    <w:rsid w:val="0021343A"/>
    <w:pPr>
      <w:spacing w:line="240" w:lineRule="auto"/>
    </w:pPr>
    <w:rPr>
      <w:color w:val="4B4A4A" w:themeColor="accent5" w:themeShade="BF"/>
    </w:rPr>
    <w:tblPr>
      <w:tblStyleRowBandSize w:val="1"/>
      <w:tblStyleColBandSize w:val="1"/>
      <w:tblBorders>
        <w:top w:val="single" w:sz="8" w:space="0" w:color="656464" w:themeColor="accent5"/>
        <w:bottom w:val="single" w:sz="8" w:space="0" w:color="656464" w:themeColor="accent5"/>
      </w:tblBorders>
    </w:tblPr>
    <w:tblStylePr w:type="fir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la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left w:val="nil"/>
          <w:right w:val="nil"/>
          <w:insideH w:val="nil"/>
          <w:insideV w:val="nil"/>
        </w:tcBorders>
        <w:shd w:val="clear" w:color="auto" w:fill="D9D8D8" w:themeFill="accent5" w:themeFillTint="3F"/>
      </w:tcPr>
    </w:tblStylePr>
  </w:style>
  <w:style w:type="table" w:styleId="LightShading-Accent6">
    <w:name w:val="Light Shading Accent 6"/>
    <w:basedOn w:val="TableNormal"/>
    <w:uiPriority w:val="60"/>
    <w:semiHidden/>
    <w:rsid w:val="0021343A"/>
    <w:pPr>
      <w:spacing w:line="240" w:lineRule="auto"/>
    </w:pPr>
    <w:rPr>
      <w:color w:val="6C6B6B" w:themeColor="accent6" w:themeShade="BF"/>
    </w:rPr>
    <w:tblPr>
      <w:tblStyleRowBandSize w:val="1"/>
      <w:tblStyleColBandSize w:val="1"/>
      <w:tblBorders>
        <w:top w:val="single" w:sz="8" w:space="0" w:color="919090" w:themeColor="accent6"/>
        <w:bottom w:val="single" w:sz="8" w:space="0" w:color="919090" w:themeColor="accent6"/>
      </w:tblBorders>
    </w:tblPr>
    <w:tblStylePr w:type="fir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la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98686" w:themeColor="text1" w:themeTint="99"/>
        </w:tcBorders>
      </w:tcPr>
    </w:tblStylePr>
    <w:tblStylePr w:type="lastRow">
      <w:rPr>
        <w:b/>
        <w:bCs/>
      </w:rPr>
      <w:tblPr/>
      <w:tcPr>
        <w:tcBorders>
          <w:top w:val="sing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959494" w:themeColor="accent1" w:themeTint="99"/>
        </w:tcBorders>
      </w:tcPr>
    </w:tblStylePr>
    <w:tblStylePr w:type="lastRow">
      <w:rPr>
        <w:b/>
        <w:bCs/>
      </w:rPr>
      <w:tblPr/>
      <w:tcPr>
        <w:tcBorders>
          <w:top w:val="sing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FAFAF" w:themeColor="accent2" w:themeTint="99"/>
        </w:tcBorders>
      </w:tcPr>
    </w:tblStylePr>
    <w:tblStylePr w:type="lastRow">
      <w:rPr>
        <w:b/>
        <w:bCs/>
      </w:rPr>
      <w:tblPr/>
      <w:tcPr>
        <w:tcBorders>
          <w:top w:val="sing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ACAC9" w:themeColor="accent3" w:themeTint="99"/>
        </w:tcBorders>
      </w:tcPr>
    </w:tblStylePr>
    <w:tblStylePr w:type="lastRow">
      <w:rPr>
        <w:b/>
        <w:bCs/>
      </w:rPr>
      <w:tblPr/>
      <w:tcPr>
        <w:tcBorders>
          <w:top w:val="sing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7C7979" w:themeColor="accent4" w:themeTint="99"/>
        </w:tcBorders>
      </w:tcPr>
    </w:tblStylePr>
    <w:tblStylePr w:type="lastRow">
      <w:rPr>
        <w:b/>
        <w:bCs/>
      </w:rPr>
      <w:tblPr/>
      <w:tcPr>
        <w:tcBorders>
          <w:top w:val="sing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2A1A1" w:themeColor="accent5" w:themeTint="99"/>
        </w:tcBorders>
      </w:tcPr>
    </w:tblStylePr>
    <w:tblStylePr w:type="lastRow">
      <w:rPr>
        <w:b/>
        <w:bCs/>
      </w:rPr>
      <w:tblPr/>
      <w:tcPr>
        <w:tcBorders>
          <w:top w:val="sing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DBCBC" w:themeColor="accent6" w:themeTint="99"/>
        </w:tcBorders>
      </w:tcPr>
    </w:tblStylePr>
    <w:tblStylePr w:type="lastRow">
      <w:rPr>
        <w:b/>
        <w:bCs/>
      </w:rPr>
      <w:tblPr/>
      <w:tcPr>
        <w:tcBorders>
          <w:top w:val="sing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98686" w:themeColor="text1" w:themeTint="99"/>
        <w:bottom w:val="single" w:sz="4" w:space="0" w:color="898686" w:themeColor="text1" w:themeTint="99"/>
        <w:insideH w:val="single" w:sz="4" w:space="0" w:color="8986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959494" w:themeColor="accent1" w:themeTint="99"/>
        <w:bottom w:val="single" w:sz="4" w:space="0" w:color="959494" w:themeColor="accent1" w:themeTint="99"/>
        <w:insideH w:val="single" w:sz="4" w:space="0" w:color="95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FAFAF" w:themeColor="accent2" w:themeTint="99"/>
        <w:bottom w:val="single" w:sz="4" w:space="0" w:color="AFAFAF" w:themeColor="accent2" w:themeTint="99"/>
        <w:insideH w:val="single" w:sz="4" w:space="0" w:color="AFAFA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ACAC9" w:themeColor="accent3" w:themeTint="99"/>
        <w:bottom w:val="single" w:sz="4" w:space="0" w:color="CACAC9" w:themeColor="accent3" w:themeTint="99"/>
        <w:insideH w:val="single" w:sz="4" w:space="0" w:color="CACA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7C7979" w:themeColor="accent4" w:themeTint="99"/>
        <w:bottom w:val="single" w:sz="4" w:space="0" w:color="7C7979" w:themeColor="accent4" w:themeTint="99"/>
        <w:insideH w:val="single" w:sz="4" w:space="0" w:color="7C79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A2A1A1" w:themeColor="accent5" w:themeTint="99"/>
        <w:bottom w:val="single" w:sz="4" w:space="0" w:color="A2A1A1" w:themeColor="accent5" w:themeTint="99"/>
        <w:insideH w:val="single" w:sz="4" w:space="0" w:color="A2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BDBCBC" w:themeColor="accent6" w:themeTint="99"/>
        <w:bottom w:val="single" w:sz="4" w:space="0" w:color="BDBCBC" w:themeColor="accent6" w:themeTint="99"/>
        <w:insideH w:val="single" w:sz="4" w:space="0" w:color="BD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93838" w:themeColor="text1"/>
        <w:left w:val="single" w:sz="4" w:space="0" w:color="393838" w:themeColor="text1"/>
        <w:bottom w:val="single" w:sz="4" w:space="0" w:color="393838" w:themeColor="text1"/>
        <w:right w:val="single" w:sz="4" w:space="0" w:color="393838" w:themeColor="text1"/>
      </w:tblBorders>
    </w:tblPr>
    <w:tblStylePr w:type="firstRow">
      <w:rPr>
        <w:b/>
        <w:bCs/>
        <w:color w:val="FFFFFF" w:themeColor="background1"/>
      </w:rPr>
      <w:tblPr/>
      <w:tcPr>
        <w:shd w:val="clear" w:color="auto" w:fill="393838" w:themeFill="text1"/>
      </w:tcPr>
    </w:tblStylePr>
    <w:tblStylePr w:type="lastRow">
      <w:rPr>
        <w:b/>
        <w:bCs/>
      </w:rPr>
      <w:tblPr/>
      <w:tcPr>
        <w:tcBorders>
          <w:top w:val="double" w:sz="4" w:space="0" w:color="3938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3838" w:themeColor="text1"/>
          <w:right w:val="single" w:sz="4" w:space="0" w:color="393838" w:themeColor="text1"/>
        </w:tcBorders>
      </w:tcPr>
    </w:tblStylePr>
    <w:tblStylePr w:type="band1Horz">
      <w:tblPr/>
      <w:tcPr>
        <w:tcBorders>
          <w:top w:val="single" w:sz="4" w:space="0" w:color="393838" w:themeColor="text1"/>
          <w:bottom w:val="single" w:sz="4" w:space="0" w:color="3938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3838" w:themeColor="text1"/>
          <w:left w:val="nil"/>
        </w:tcBorders>
      </w:tcPr>
    </w:tblStylePr>
    <w:tblStylePr w:type="swCell">
      <w:tblPr/>
      <w:tcPr>
        <w:tcBorders>
          <w:top w:val="double" w:sz="4" w:space="0" w:color="393838"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4F4E4E" w:themeColor="accent1"/>
        <w:left w:val="single" w:sz="4" w:space="0" w:color="4F4E4E" w:themeColor="accent1"/>
        <w:bottom w:val="single" w:sz="4" w:space="0" w:color="4F4E4E" w:themeColor="accent1"/>
        <w:right w:val="single" w:sz="4" w:space="0" w:color="4F4E4E" w:themeColor="accent1"/>
      </w:tblBorders>
    </w:tblPr>
    <w:tblStylePr w:type="firstRow">
      <w:rPr>
        <w:b/>
        <w:bCs/>
        <w:color w:val="FFFFFF" w:themeColor="background1"/>
      </w:rPr>
      <w:tblPr/>
      <w:tcPr>
        <w:shd w:val="clear" w:color="auto" w:fill="4F4E4E" w:themeFill="accent1"/>
      </w:tcPr>
    </w:tblStylePr>
    <w:tblStylePr w:type="lastRow">
      <w:rPr>
        <w:b/>
        <w:bCs/>
      </w:rPr>
      <w:tblPr/>
      <w:tcPr>
        <w:tcBorders>
          <w:top w:val="double" w:sz="4" w:space="0" w:color="4F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4E4E" w:themeColor="accent1"/>
          <w:right w:val="single" w:sz="4" w:space="0" w:color="4F4E4E" w:themeColor="accent1"/>
        </w:tcBorders>
      </w:tcPr>
    </w:tblStylePr>
    <w:tblStylePr w:type="band1Horz">
      <w:tblPr/>
      <w:tcPr>
        <w:tcBorders>
          <w:top w:val="single" w:sz="4" w:space="0" w:color="4F4E4E" w:themeColor="accent1"/>
          <w:bottom w:val="single" w:sz="4" w:space="0" w:color="4F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themeColor="accent1"/>
          <w:left w:val="nil"/>
        </w:tcBorders>
      </w:tcPr>
    </w:tblStylePr>
    <w:tblStylePr w:type="swCell">
      <w:tblPr/>
      <w:tcPr>
        <w:tcBorders>
          <w:top w:val="double" w:sz="4" w:space="0" w:color="4F4E4E"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B7A7A" w:themeColor="accent2"/>
        <w:left w:val="single" w:sz="4" w:space="0" w:color="7B7A7A" w:themeColor="accent2"/>
        <w:bottom w:val="single" w:sz="4" w:space="0" w:color="7B7A7A" w:themeColor="accent2"/>
        <w:right w:val="single" w:sz="4" w:space="0" w:color="7B7A7A" w:themeColor="accent2"/>
      </w:tblBorders>
    </w:tblPr>
    <w:tblStylePr w:type="firstRow">
      <w:rPr>
        <w:b/>
        <w:bCs/>
        <w:color w:val="FFFFFF" w:themeColor="background1"/>
      </w:rPr>
      <w:tblPr/>
      <w:tcPr>
        <w:shd w:val="clear" w:color="auto" w:fill="7B7A7A" w:themeFill="accent2"/>
      </w:tcPr>
    </w:tblStylePr>
    <w:tblStylePr w:type="lastRow">
      <w:rPr>
        <w:b/>
        <w:bCs/>
      </w:rPr>
      <w:tblPr/>
      <w:tcPr>
        <w:tcBorders>
          <w:top w:val="double" w:sz="4" w:space="0" w:color="7B7A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7A7A" w:themeColor="accent2"/>
          <w:right w:val="single" w:sz="4" w:space="0" w:color="7B7A7A" w:themeColor="accent2"/>
        </w:tcBorders>
      </w:tcPr>
    </w:tblStylePr>
    <w:tblStylePr w:type="band1Horz">
      <w:tblPr/>
      <w:tcPr>
        <w:tcBorders>
          <w:top w:val="single" w:sz="4" w:space="0" w:color="7B7A7A" w:themeColor="accent2"/>
          <w:bottom w:val="single" w:sz="4" w:space="0" w:color="7B7A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7A7A" w:themeColor="accent2"/>
          <w:left w:val="nil"/>
        </w:tcBorders>
      </w:tcPr>
    </w:tblStylePr>
    <w:tblStylePr w:type="swCell">
      <w:tblPr/>
      <w:tcPr>
        <w:tcBorders>
          <w:top w:val="double" w:sz="4" w:space="0" w:color="7B7A7A"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A7A7A6" w:themeColor="accent3"/>
        <w:left w:val="single" w:sz="4" w:space="0" w:color="A7A7A6" w:themeColor="accent3"/>
        <w:bottom w:val="single" w:sz="4" w:space="0" w:color="A7A7A6" w:themeColor="accent3"/>
        <w:right w:val="single" w:sz="4" w:space="0" w:color="A7A7A6" w:themeColor="accent3"/>
      </w:tblBorders>
    </w:tblPr>
    <w:tblStylePr w:type="firstRow">
      <w:rPr>
        <w:b/>
        <w:bCs/>
        <w:color w:val="FFFFFF" w:themeColor="background1"/>
      </w:rPr>
      <w:tblPr/>
      <w:tcPr>
        <w:shd w:val="clear" w:color="auto" w:fill="A7A7A6" w:themeFill="accent3"/>
      </w:tcPr>
    </w:tblStylePr>
    <w:tblStylePr w:type="lastRow">
      <w:rPr>
        <w:b/>
        <w:bCs/>
      </w:rPr>
      <w:tblPr/>
      <w:tcPr>
        <w:tcBorders>
          <w:top w:val="double" w:sz="4" w:space="0" w:color="A7A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7A6" w:themeColor="accent3"/>
          <w:right w:val="single" w:sz="4" w:space="0" w:color="A7A7A6" w:themeColor="accent3"/>
        </w:tcBorders>
      </w:tcPr>
    </w:tblStylePr>
    <w:tblStylePr w:type="band1Horz">
      <w:tblPr/>
      <w:tcPr>
        <w:tcBorders>
          <w:top w:val="single" w:sz="4" w:space="0" w:color="A7A7A6" w:themeColor="accent3"/>
          <w:bottom w:val="single" w:sz="4" w:space="0" w:color="A7A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7A6" w:themeColor="accent3"/>
          <w:left w:val="nil"/>
        </w:tcBorders>
      </w:tcPr>
    </w:tblStylePr>
    <w:tblStylePr w:type="swCell">
      <w:tblPr/>
      <w:tcPr>
        <w:tcBorders>
          <w:top w:val="double" w:sz="4" w:space="0" w:color="A7A7A6"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32222" w:themeColor="accent4"/>
        <w:left w:val="single" w:sz="4" w:space="0" w:color="232222" w:themeColor="accent4"/>
        <w:bottom w:val="single" w:sz="4" w:space="0" w:color="232222" w:themeColor="accent4"/>
        <w:right w:val="single" w:sz="4" w:space="0" w:color="232222" w:themeColor="accent4"/>
      </w:tblBorders>
    </w:tblPr>
    <w:tblStylePr w:type="firstRow">
      <w:rPr>
        <w:b/>
        <w:bCs/>
        <w:color w:val="FFFFFF" w:themeColor="background1"/>
      </w:rPr>
      <w:tblPr/>
      <w:tcPr>
        <w:shd w:val="clear" w:color="auto" w:fill="232222" w:themeFill="accent4"/>
      </w:tcPr>
    </w:tblStylePr>
    <w:tblStylePr w:type="lastRow">
      <w:rPr>
        <w:b/>
        <w:bCs/>
      </w:rPr>
      <w:tblPr/>
      <w:tcPr>
        <w:tcBorders>
          <w:top w:val="double" w:sz="4" w:space="0" w:color="23222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accent4"/>
          <w:right w:val="single" w:sz="4" w:space="0" w:color="232222" w:themeColor="accent4"/>
        </w:tcBorders>
      </w:tcPr>
    </w:tblStylePr>
    <w:tblStylePr w:type="band1Horz">
      <w:tblPr/>
      <w:tcPr>
        <w:tcBorders>
          <w:top w:val="single" w:sz="4" w:space="0" w:color="232222" w:themeColor="accent4"/>
          <w:bottom w:val="single" w:sz="4" w:space="0" w:color="23222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accent4"/>
          <w:left w:val="nil"/>
        </w:tcBorders>
      </w:tcPr>
    </w:tblStylePr>
    <w:tblStylePr w:type="swCell">
      <w:tblPr/>
      <w:tcPr>
        <w:tcBorders>
          <w:top w:val="double" w:sz="4" w:space="0" w:color="232222"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656464" w:themeColor="accent5"/>
        <w:left w:val="single" w:sz="4" w:space="0" w:color="656464" w:themeColor="accent5"/>
        <w:bottom w:val="single" w:sz="4" w:space="0" w:color="656464" w:themeColor="accent5"/>
        <w:right w:val="single" w:sz="4" w:space="0" w:color="656464" w:themeColor="accent5"/>
      </w:tblBorders>
    </w:tblPr>
    <w:tblStylePr w:type="firstRow">
      <w:rPr>
        <w:b/>
        <w:bCs/>
        <w:color w:val="FFFFFF" w:themeColor="background1"/>
      </w:rPr>
      <w:tblPr/>
      <w:tcPr>
        <w:shd w:val="clear" w:color="auto" w:fill="656464" w:themeFill="accent5"/>
      </w:tcPr>
    </w:tblStylePr>
    <w:tblStylePr w:type="lastRow">
      <w:rPr>
        <w:b/>
        <w:bCs/>
      </w:rPr>
      <w:tblPr/>
      <w:tcPr>
        <w:tcBorders>
          <w:top w:val="double" w:sz="4" w:space="0" w:color="6564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464" w:themeColor="accent5"/>
          <w:right w:val="single" w:sz="4" w:space="0" w:color="656464" w:themeColor="accent5"/>
        </w:tcBorders>
      </w:tcPr>
    </w:tblStylePr>
    <w:tblStylePr w:type="band1Horz">
      <w:tblPr/>
      <w:tcPr>
        <w:tcBorders>
          <w:top w:val="single" w:sz="4" w:space="0" w:color="656464" w:themeColor="accent5"/>
          <w:bottom w:val="single" w:sz="4" w:space="0" w:color="6564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464" w:themeColor="accent5"/>
          <w:left w:val="nil"/>
        </w:tcBorders>
      </w:tcPr>
    </w:tblStylePr>
    <w:tblStylePr w:type="swCell">
      <w:tblPr/>
      <w:tcPr>
        <w:tcBorders>
          <w:top w:val="double" w:sz="4" w:space="0" w:color="656464"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919090" w:themeColor="accent6"/>
        <w:left w:val="single" w:sz="4" w:space="0" w:color="919090" w:themeColor="accent6"/>
        <w:bottom w:val="single" w:sz="4" w:space="0" w:color="919090" w:themeColor="accent6"/>
        <w:right w:val="single" w:sz="4" w:space="0" w:color="919090" w:themeColor="accent6"/>
      </w:tblBorders>
    </w:tblPr>
    <w:tblStylePr w:type="firstRow">
      <w:rPr>
        <w:b/>
        <w:bCs/>
        <w:color w:val="FFFFFF" w:themeColor="background1"/>
      </w:rPr>
      <w:tblPr/>
      <w:tcPr>
        <w:shd w:val="clear" w:color="auto" w:fill="919090" w:themeFill="accent6"/>
      </w:tcPr>
    </w:tblStylePr>
    <w:tblStylePr w:type="lastRow">
      <w:rPr>
        <w:b/>
        <w:bCs/>
      </w:rPr>
      <w:tblPr/>
      <w:tcPr>
        <w:tcBorders>
          <w:top w:val="double" w:sz="4" w:space="0" w:color="91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090" w:themeColor="accent6"/>
          <w:right w:val="single" w:sz="4" w:space="0" w:color="919090" w:themeColor="accent6"/>
        </w:tcBorders>
      </w:tcPr>
    </w:tblStylePr>
    <w:tblStylePr w:type="band1Horz">
      <w:tblPr/>
      <w:tcPr>
        <w:tcBorders>
          <w:top w:val="single" w:sz="4" w:space="0" w:color="919090" w:themeColor="accent6"/>
          <w:bottom w:val="single" w:sz="4" w:space="0" w:color="91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090" w:themeColor="accent6"/>
          <w:left w:val="nil"/>
        </w:tcBorders>
      </w:tcPr>
    </w:tblStylePr>
    <w:tblStylePr w:type="swCell">
      <w:tblPr/>
      <w:tcPr>
        <w:tcBorders>
          <w:top w:val="double" w:sz="4" w:space="0" w:color="919090"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tcBorders>
        <w:shd w:val="clear" w:color="auto" w:fill="393838" w:themeFill="text1"/>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tcBorders>
        <w:shd w:val="clear" w:color="auto" w:fill="4F4E4E" w:themeFill="accent1"/>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tcBorders>
        <w:shd w:val="clear" w:color="auto" w:fill="7B7A7A" w:themeFill="accent2"/>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tcBorders>
        <w:shd w:val="clear" w:color="auto" w:fill="A7A7A6" w:themeFill="accent3"/>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tcBorders>
        <w:shd w:val="clear" w:color="auto" w:fill="232222" w:themeFill="accent4"/>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tcBorders>
        <w:shd w:val="clear" w:color="auto" w:fill="656464" w:themeFill="accent5"/>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tcBorders>
        <w:shd w:val="clear" w:color="auto" w:fill="919090" w:themeFill="accent6"/>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93838" w:themeColor="text1"/>
        <w:left w:val="single" w:sz="24" w:space="0" w:color="393838" w:themeColor="text1"/>
        <w:bottom w:val="single" w:sz="24" w:space="0" w:color="393838" w:themeColor="text1"/>
        <w:right w:val="single" w:sz="24" w:space="0" w:color="393838" w:themeColor="text1"/>
      </w:tblBorders>
    </w:tblPr>
    <w:tcPr>
      <w:shd w:val="clear" w:color="auto" w:fill="39383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4F4E4E" w:themeColor="accent1"/>
        <w:left w:val="single" w:sz="24" w:space="0" w:color="4F4E4E" w:themeColor="accent1"/>
        <w:bottom w:val="single" w:sz="24" w:space="0" w:color="4F4E4E" w:themeColor="accent1"/>
        <w:right w:val="single" w:sz="24" w:space="0" w:color="4F4E4E" w:themeColor="accent1"/>
      </w:tblBorders>
    </w:tblPr>
    <w:tcPr>
      <w:shd w:val="clear" w:color="auto" w:fill="4F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B7A7A" w:themeColor="accent2"/>
        <w:left w:val="single" w:sz="24" w:space="0" w:color="7B7A7A" w:themeColor="accent2"/>
        <w:bottom w:val="single" w:sz="24" w:space="0" w:color="7B7A7A" w:themeColor="accent2"/>
        <w:right w:val="single" w:sz="24" w:space="0" w:color="7B7A7A" w:themeColor="accent2"/>
      </w:tblBorders>
    </w:tblPr>
    <w:tcPr>
      <w:shd w:val="clear" w:color="auto" w:fill="7B7A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A7A7A6" w:themeColor="accent3"/>
        <w:left w:val="single" w:sz="24" w:space="0" w:color="A7A7A6" w:themeColor="accent3"/>
        <w:bottom w:val="single" w:sz="24" w:space="0" w:color="A7A7A6" w:themeColor="accent3"/>
        <w:right w:val="single" w:sz="24" w:space="0" w:color="A7A7A6" w:themeColor="accent3"/>
      </w:tblBorders>
    </w:tblPr>
    <w:tcPr>
      <w:shd w:val="clear" w:color="auto" w:fill="A7A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32222" w:themeColor="accent4"/>
        <w:left w:val="single" w:sz="24" w:space="0" w:color="232222" w:themeColor="accent4"/>
        <w:bottom w:val="single" w:sz="24" w:space="0" w:color="232222" w:themeColor="accent4"/>
        <w:right w:val="single" w:sz="24" w:space="0" w:color="232222" w:themeColor="accent4"/>
      </w:tblBorders>
    </w:tblPr>
    <w:tcPr>
      <w:shd w:val="clear" w:color="auto" w:fill="23222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656464" w:themeColor="accent5"/>
        <w:left w:val="single" w:sz="24" w:space="0" w:color="656464" w:themeColor="accent5"/>
        <w:bottom w:val="single" w:sz="24" w:space="0" w:color="656464" w:themeColor="accent5"/>
        <w:right w:val="single" w:sz="24" w:space="0" w:color="656464" w:themeColor="accent5"/>
      </w:tblBorders>
    </w:tblPr>
    <w:tcPr>
      <w:shd w:val="clear" w:color="auto" w:fill="6564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919090" w:themeColor="accent6"/>
        <w:left w:val="single" w:sz="24" w:space="0" w:color="919090" w:themeColor="accent6"/>
        <w:bottom w:val="single" w:sz="24" w:space="0" w:color="919090" w:themeColor="accent6"/>
        <w:right w:val="single" w:sz="24" w:space="0" w:color="919090" w:themeColor="accent6"/>
      </w:tblBorders>
    </w:tblPr>
    <w:tcPr>
      <w:shd w:val="clear" w:color="auto" w:fill="91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93838" w:themeColor="text1"/>
        <w:bottom w:val="single" w:sz="4" w:space="0" w:color="393838" w:themeColor="text1"/>
      </w:tblBorders>
    </w:tblPr>
    <w:tblStylePr w:type="firstRow">
      <w:rPr>
        <w:b/>
        <w:bCs/>
      </w:rPr>
      <w:tblPr/>
      <w:tcPr>
        <w:tcBorders>
          <w:bottom w:val="single" w:sz="4" w:space="0" w:color="393838" w:themeColor="text1"/>
        </w:tcBorders>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4F4E4E" w:themeColor="accent1"/>
        <w:bottom w:val="single" w:sz="4" w:space="0" w:color="4F4E4E" w:themeColor="accent1"/>
      </w:tblBorders>
    </w:tblPr>
    <w:tblStylePr w:type="firstRow">
      <w:rPr>
        <w:b/>
        <w:bCs/>
      </w:rPr>
      <w:tblPr/>
      <w:tcPr>
        <w:tcBorders>
          <w:bottom w:val="single" w:sz="4" w:space="0" w:color="4F4E4E" w:themeColor="accent1"/>
        </w:tcBorders>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7B7A7A" w:themeColor="accent2"/>
        <w:bottom w:val="single" w:sz="4" w:space="0" w:color="7B7A7A" w:themeColor="accent2"/>
      </w:tblBorders>
    </w:tblPr>
    <w:tblStylePr w:type="firstRow">
      <w:rPr>
        <w:b/>
        <w:bCs/>
      </w:rPr>
      <w:tblPr/>
      <w:tcPr>
        <w:tcBorders>
          <w:bottom w:val="single" w:sz="4" w:space="0" w:color="7B7A7A" w:themeColor="accent2"/>
        </w:tcBorders>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A7A7A6" w:themeColor="accent3"/>
        <w:bottom w:val="single" w:sz="4" w:space="0" w:color="A7A7A6" w:themeColor="accent3"/>
      </w:tblBorders>
    </w:tblPr>
    <w:tblStylePr w:type="firstRow">
      <w:rPr>
        <w:b/>
        <w:bCs/>
      </w:rPr>
      <w:tblPr/>
      <w:tcPr>
        <w:tcBorders>
          <w:bottom w:val="single" w:sz="4" w:space="0" w:color="A7A7A6" w:themeColor="accent3"/>
        </w:tcBorders>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232222" w:themeColor="accent4"/>
        <w:bottom w:val="single" w:sz="4" w:space="0" w:color="232222" w:themeColor="accent4"/>
      </w:tblBorders>
    </w:tblPr>
    <w:tblStylePr w:type="firstRow">
      <w:rPr>
        <w:b/>
        <w:bCs/>
      </w:rPr>
      <w:tblPr/>
      <w:tcPr>
        <w:tcBorders>
          <w:bottom w:val="single" w:sz="4" w:space="0" w:color="232222" w:themeColor="accent4"/>
        </w:tcBorders>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656464" w:themeColor="accent5"/>
        <w:bottom w:val="single" w:sz="4" w:space="0" w:color="656464" w:themeColor="accent5"/>
      </w:tblBorders>
    </w:tblPr>
    <w:tblStylePr w:type="firstRow">
      <w:rPr>
        <w:b/>
        <w:bCs/>
      </w:rPr>
      <w:tblPr/>
      <w:tcPr>
        <w:tcBorders>
          <w:bottom w:val="single" w:sz="4" w:space="0" w:color="656464" w:themeColor="accent5"/>
        </w:tcBorders>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919090" w:themeColor="accent6"/>
        <w:bottom w:val="single" w:sz="4" w:space="0" w:color="919090" w:themeColor="accent6"/>
      </w:tblBorders>
    </w:tblPr>
    <w:tblStylePr w:type="firstRow">
      <w:rPr>
        <w:b/>
        <w:bCs/>
      </w:rPr>
      <w:tblPr/>
      <w:tcPr>
        <w:tcBorders>
          <w:bottom w:val="single" w:sz="4" w:space="0" w:color="919090" w:themeColor="accent6"/>
        </w:tcBorders>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383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383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383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3838" w:themeColor="text1"/>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3B3A3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4E4E" w:themeColor="accent1"/>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5C5B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7A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7A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7A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7A7A" w:themeColor="accent2"/>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7D7D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6"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A191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accent4"/>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4B4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464" w:themeColor="accent5"/>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6C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090" w:themeColor="accent6"/>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insideV w:val="single" w:sz="8" w:space="0" w:color="6B6969" w:themeColor="text1" w:themeTint="BF"/>
      </w:tblBorders>
    </w:tblPr>
    <w:tcPr>
      <w:shd w:val="clear" w:color="auto" w:fill="CECDCD" w:themeFill="text1" w:themeFillTint="3F"/>
    </w:tcPr>
    <w:tblStylePr w:type="firstRow">
      <w:rPr>
        <w:b/>
        <w:bCs/>
      </w:rPr>
    </w:tblStylePr>
    <w:tblStylePr w:type="lastRow">
      <w:rPr>
        <w:b/>
        <w:bCs/>
      </w:rPr>
      <w:tblPr/>
      <w:tcPr>
        <w:tcBorders>
          <w:top w:val="single" w:sz="18" w:space="0" w:color="6B6969" w:themeColor="text1" w:themeTint="BF"/>
        </w:tcBorders>
      </w:tcPr>
    </w:tblStylePr>
    <w:tblStylePr w:type="firstCol">
      <w:rPr>
        <w:b/>
        <w:bCs/>
      </w:rPr>
    </w:tblStylePr>
    <w:tblStylePr w:type="lastCol">
      <w:rPr>
        <w:b/>
        <w:bCs/>
      </w:r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insideV w:val="single" w:sz="8" w:space="0" w:color="7B7A7A" w:themeColor="accent1" w:themeTint="BF"/>
      </w:tblBorders>
    </w:tblPr>
    <w:tcPr>
      <w:shd w:val="clear" w:color="auto" w:fill="D3D3D3" w:themeFill="accent1" w:themeFillTint="3F"/>
    </w:tcPr>
    <w:tblStylePr w:type="firstRow">
      <w:rPr>
        <w:b/>
        <w:bCs/>
      </w:rPr>
    </w:tblStylePr>
    <w:tblStylePr w:type="lastRow">
      <w:rPr>
        <w:b/>
        <w:bCs/>
      </w:rPr>
      <w:tblPr/>
      <w:tcPr>
        <w:tcBorders>
          <w:top w:val="single" w:sz="18" w:space="0" w:color="7B7A7A" w:themeColor="accent1" w:themeTint="BF"/>
        </w:tcBorders>
      </w:tcPr>
    </w:tblStylePr>
    <w:tblStylePr w:type="firstCol">
      <w:rPr>
        <w:b/>
        <w:bCs/>
      </w:rPr>
    </w:tblStylePr>
    <w:tblStylePr w:type="lastCol">
      <w:rPr>
        <w:b/>
        <w:bCs/>
      </w:r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insideV w:val="single" w:sz="8" w:space="0" w:color="9C9B9B"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C9B9B" w:themeColor="accent2" w:themeTint="BF"/>
        </w:tcBorders>
      </w:tcPr>
    </w:tblStylePr>
    <w:tblStylePr w:type="firstCol">
      <w:rPr>
        <w:b/>
        <w:bCs/>
      </w:rPr>
    </w:tblStylePr>
    <w:tblStylePr w:type="lastCol">
      <w:rPr>
        <w:b/>
        <w:bCs/>
      </w:r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insideV w:val="single" w:sz="8" w:space="0" w:color="BDBDBC" w:themeColor="accent3" w:themeTint="BF"/>
      </w:tblBorders>
    </w:tblPr>
    <w:tcPr>
      <w:shd w:val="clear" w:color="auto" w:fill="E9E9E8" w:themeFill="accent3" w:themeFillTint="3F"/>
    </w:tcPr>
    <w:tblStylePr w:type="firstRow">
      <w:rPr>
        <w:b/>
        <w:bCs/>
      </w:rPr>
    </w:tblStylePr>
    <w:tblStylePr w:type="lastRow">
      <w:rPr>
        <w:b/>
        <w:bCs/>
      </w:rPr>
      <w:tblPr/>
      <w:tcPr>
        <w:tcBorders>
          <w:top w:val="single" w:sz="18" w:space="0" w:color="BDBDBC" w:themeColor="accent3" w:themeTint="BF"/>
        </w:tcBorders>
      </w:tcPr>
    </w:tblStylePr>
    <w:tblStylePr w:type="firstCol">
      <w:rPr>
        <w:b/>
        <w:bCs/>
      </w:rPr>
    </w:tblStylePr>
    <w:tblStylePr w:type="lastCol">
      <w:rPr>
        <w:b/>
        <w:bCs/>
      </w:r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insideV w:val="single" w:sz="8" w:space="0" w:color="5B5858" w:themeColor="accent4" w:themeTint="BF"/>
      </w:tblBorders>
    </w:tblPr>
    <w:tcPr>
      <w:shd w:val="clear" w:color="auto" w:fill="C9C7C7" w:themeFill="accent4" w:themeFillTint="3F"/>
    </w:tcPr>
    <w:tblStylePr w:type="firstRow">
      <w:rPr>
        <w:b/>
        <w:bCs/>
      </w:rPr>
    </w:tblStylePr>
    <w:tblStylePr w:type="lastRow">
      <w:rPr>
        <w:b/>
        <w:bCs/>
      </w:rPr>
      <w:tblPr/>
      <w:tcPr>
        <w:tcBorders>
          <w:top w:val="single" w:sz="18" w:space="0" w:color="5B5858" w:themeColor="accent4" w:themeTint="BF"/>
        </w:tcBorders>
      </w:tcPr>
    </w:tblStylePr>
    <w:tblStylePr w:type="firstCol">
      <w:rPr>
        <w:b/>
        <w:bCs/>
      </w:rPr>
    </w:tblStylePr>
    <w:tblStylePr w:type="lastCol">
      <w:rPr>
        <w:b/>
        <w:bCs/>
      </w:r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insideV w:val="single" w:sz="8" w:space="0" w:color="8B8A8A" w:themeColor="accent5" w:themeTint="BF"/>
      </w:tblBorders>
    </w:tblPr>
    <w:tcPr>
      <w:shd w:val="clear" w:color="auto" w:fill="D9D8D8" w:themeFill="accent5" w:themeFillTint="3F"/>
    </w:tcPr>
    <w:tblStylePr w:type="firstRow">
      <w:rPr>
        <w:b/>
        <w:bCs/>
      </w:rPr>
    </w:tblStylePr>
    <w:tblStylePr w:type="lastRow">
      <w:rPr>
        <w:b/>
        <w:bCs/>
      </w:rPr>
      <w:tblPr/>
      <w:tcPr>
        <w:tcBorders>
          <w:top w:val="single" w:sz="18" w:space="0" w:color="8B8A8A" w:themeColor="accent5" w:themeTint="BF"/>
        </w:tcBorders>
      </w:tcPr>
    </w:tblStylePr>
    <w:tblStylePr w:type="firstCol">
      <w:rPr>
        <w:b/>
        <w:bCs/>
      </w:rPr>
    </w:tblStylePr>
    <w:tblStylePr w:type="lastCol">
      <w:rPr>
        <w:b/>
        <w:bCs/>
      </w:r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insideV w:val="single" w:sz="8" w:space="0" w:color="AC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CABAB" w:themeColor="accent6" w:themeTint="BF"/>
        </w:tcBorders>
      </w:tcPr>
    </w:tblStylePr>
    <w:tblStylePr w:type="firstCol">
      <w:rPr>
        <w:b/>
        <w:bCs/>
      </w:rPr>
    </w:tblStylePr>
    <w:tblStylePr w:type="lastCol">
      <w:rPr>
        <w:b/>
        <w:bCs/>
      </w:r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cPr>
      <w:shd w:val="clear" w:color="auto" w:fill="CECDCD" w:themeFill="text1" w:themeFillTint="3F"/>
    </w:tcPr>
    <w:tblStylePr w:type="firstRow">
      <w:rPr>
        <w:b/>
        <w:bCs/>
        <w:color w:val="393838" w:themeColor="text1"/>
      </w:rPr>
      <w:tblPr/>
      <w:tcPr>
        <w:shd w:val="clear" w:color="auto" w:fill="EBEBEB" w:themeFill="tex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D9B9B" w:themeFill="text1" w:themeFillTint="7F"/>
      </w:tcPr>
    </w:tblStylePr>
    <w:tblStylePr w:type="band1Horz">
      <w:tblPr/>
      <w:tcPr>
        <w:tcBorders>
          <w:insideH w:val="single" w:sz="6" w:space="0" w:color="393838" w:themeColor="text1"/>
          <w:insideV w:val="single" w:sz="6" w:space="0" w:color="393838" w:themeColor="text1"/>
        </w:tcBorders>
        <w:shd w:val="clear" w:color="auto" w:fill="9D9B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cPr>
      <w:shd w:val="clear" w:color="auto" w:fill="D3D3D3" w:themeFill="accent1" w:themeFillTint="3F"/>
    </w:tcPr>
    <w:tblStylePr w:type="firstRow">
      <w:rPr>
        <w:b/>
        <w:bCs/>
        <w:color w:val="393838" w:themeColor="text1"/>
      </w:rPr>
      <w:tblPr/>
      <w:tcPr>
        <w:shd w:val="clear" w:color="auto" w:fill="EDEDED" w:themeFill="accen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CDBDB" w:themeFill="accent1" w:themeFillTint="33"/>
      </w:tcPr>
    </w:tblStylePr>
    <w:tblStylePr w:type="band1Vert">
      <w:tblPr/>
      <w:tcPr>
        <w:shd w:val="clear" w:color="auto" w:fill="A7A6A6" w:themeFill="accent1" w:themeFillTint="7F"/>
      </w:tcPr>
    </w:tblStylePr>
    <w:tblStylePr w:type="band1Horz">
      <w:tblPr/>
      <w:tcPr>
        <w:tcBorders>
          <w:insideH w:val="single" w:sz="6" w:space="0" w:color="4F4E4E" w:themeColor="accent1"/>
          <w:insideV w:val="single" w:sz="6" w:space="0" w:color="4F4E4E" w:themeColor="accent1"/>
        </w:tcBorders>
        <w:shd w:val="clear" w:color="auto" w:fill="A7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cPr>
      <w:shd w:val="clear" w:color="auto" w:fill="DEDEDE" w:themeFill="accent2" w:themeFillTint="3F"/>
    </w:tcPr>
    <w:tblStylePr w:type="firstRow">
      <w:rPr>
        <w:b/>
        <w:bCs/>
        <w:color w:val="393838" w:themeColor="text1"/>
      </w:rPr>
      <w:tblPr/>
      <w:tcPr>
        <w:shd w:val="clear" w:color="auto" w:fill="F2F1F1" w:themeFill="accent2"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4E4E4" w:themeFill="accent2" w:themeFillTint="33"/>
      </w:tcPr>
    </w:tblStylePr>
    <w:tblStylePr w:type="band1Vert">
      <w:tblPr/>
      <w:tcPr>
        <w:shd w:val="clear" w:color="auto" w:fill="BDBCBC" w:themeFill="accent2" w:themeFillTint="7F"/>
      </w:tcPr>
    </w:tblStylePr>
    <w:tblStylePr w:type="band1Horz">
      <w:tblPr/>
      <w:tcPr>
        <w:tcBorders>
          <w:insideH w:val="single" w:sz="6" w:space="0" w:color="7B7A7A" w:themeColor="accent2"/>
          <w:insideV w:val="single" w:sz="6" w:space="0" w:color="7B7A7A" w:themeColor="accent2"/>
        </w:tcBorders>
        <w:shd w:val="clear" w:color="auto" w:fill="BDBC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cPr>
      <w:shd w:val="clear" w:color="auto" w:fill="E9E9E8" w:themeFill="accent3" w:themeFillTint="3F"/>
    </w:tcPr>
    <w:tblStylePr w:type="firstRow">
      <w:rPr>
        <w:b/>
        <w:bCs/>
        <w:color w:val="393838" w:themeColor="text1"/>
      </w:rPr>
      <w:tblPr/>
      <w:tcPr>
        <w:shd w:val="clear" w:color="auto" w:fill="F6F6F6" w:themeFill="accent3"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3D3D2" w:themeFill="accent3" w:themeFillTint="7F"/>
      </w:tcPr>
    </w:tblStylePr>
    <w:tblStylePr w:type="band1Horz">
      <w:tblPr/>
      <w:tcPr>
        <w:tcBorders>
          <w:insideH w:val="single" w:sz="6" w:space="0" w:color="A7A7A6" w:themeColor="accent3"/>
          <w:insideV w:val="single" w:sz="6" w:space="0" w:color="A7A7A6" w:themeColor="accent3"/>
        </w:tcBorders>
        <w:shd w:val="clear" w:color="auto" w:fill="D3D3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cPr>
      <w:shd w:val="clear" w:color="auto" w:fill="C9C7C7" w:themeFill="accent4" w:themeFillTint="3F"/>
    </w:tcPr>
    <w:tblStylePr w:type="firstRow">
      <w:rPr>
        <w:b/>
        <w:bCs/>
        <w:color w:val="393838" w:themeColor="text1"/>
      </w:rPr>
      <w:tblPr/>
      <w:tcPr>
        <w:shd w:val="clear" w:color="auto" w:fill="E9E9E9" w:themeFill="accent4"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3D2D2" w:themeFill="accent4" w:themeFillTint="33"/>
      </w:tcPr>
    </w:tblStylePr>
    <w:tblStylePr w:type="band1Vert">
      <w:tblPr/>
      <w:tcPr>
        <w:shd w:val="clear" w:color="auto" w:fill="928F8F" w:themeFill="accent4" w:themeFillTint="7F"/>
      </w:tcPr>
    </w:tblStylePr>
    <w:tblStylePr w:type="band1Horz">
      <w:tblPr/>
      <w:tcPr>
        <w:tcBorders>
          <w:insideH w:val="single" w:sz="6" w:space="0" w:color="232222" w:themeColor="accent4"/>
          <w:insideV w:val="single" w:sz="6" w:space="0" w:color="232222" w:themeColor="accent4"/>
        </w:tcBorders>
        <w:shd w:val="clear" w:color="auto" w:fill="928F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cPr>
      <w:shd w:val="clear" w:color="auto" w:fill="D9D8D8" w:themeFill="accent5" w:themeFillTint="3F"/>
    </w:tcPr>
    <w:tblStylePr w:type="firstRow">
      <w:rPr>
        <w:b/>
        <w:bCs/>
        <w:color w:val="393838" w:themeColor="text1"/>
      </w:rPr>
      <w:tblPr/>
      <w:tcPr>
        <w:shd w:val="clear" w:color="auto" w:fill="F0EFEF" w:themeFill="accent5"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0DFDF" w:themeFill="accent5" w:themeFillTint="33"/>
      </w:tcPr>
    </w:tblStylePr>
    <w:tblStylePr w:type="band1Vert">
      <w:tblPr/>
      <w:tcPr>
        <w:shd w:val="clear" w:color="auto" w:fill="B2B1B1" w:themeFill="accent5" w:themeFillTint="7F"/>
      </w:tcPr>
    </w:tblStylePr>
    <w:tblStylePr w:type="band1Horz">
      <w:tblPr/>
      <w:tcPr>
        <w:tcBorders>
          <w:insideH w:val="single" w:sz="6" w:space="0" w:color="656464" w:themeColor="accent5"/>
          <w:insideV w:val="single" w:sz="6" w:space="0" w:color="656464" w:themeColor="accent5"/>
        </w:tcBorders>
        <w:shd w:val="clear" w:color="auto" w:fill="B2B1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cPr>
      <w:shd w:val="clear" w:color="auto" w:fill="E3E3E3" w:themeFill="accent6" w:themeFillTint="3F"/>
    </w:tcPr>
    <w:tblStylePr w:type="firstRow">
      <w:rPr>
        <w:b/>
        <w:bCs/>
        <w:color w:val="393838" w:themeColor="text1"/>
      </w:rPr>
      <w:tblPr/>
      <w:tcPr>
        <w:shd w:val="clear" w:color="auto" w:fill="F4F4F4" w:themeFill="accent6"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9E8E8" w:themeFill="accent6" w:themeFillTint="33"/>
      </w:tcPr>
    </w:tblStylePr>
    <w:tblStylePr w:type="band1Vert">
      <w:tblPr/>
      <w:tcPr>
        <w:shd w:val="clear" w:color="auto" w:fill="C8C7C7" w:themeFill="accent6" w:themeFillTint="7F"/>
      </w:tcPr>
    </w:tblStylePr>
    <w:tblStylePr w:type="band1Horz">
      <w:tblPr/>
      <w:tcPr>
        <w:tcBorders>
          <w:insideH w:val="single" w:sz="6" w:space="0" w:color="919090" w:themeColor="accent6"/>
          <w:insideV w:val="single" w:sz="6" w:space="0" w:color="919090" w:themeColor="accent6"/>
        </w:tcBorders>
        <w:shd w:val="clear" w:color="auto" w:fill="C8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D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383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383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B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B9B"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6A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7A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7A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BC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BCB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3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3D2"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4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4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1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1B1"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7C7"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93838" w:themeColor="text1"/>
        <w:bottom w:val="single" w:sz="8" w:space="0" w:color="393838" w:themeColor="text1"/>
      </w:tblBorders>
    </w:tblPr>
    <w:tblStylePr w:type="firstRow">
      <w:rPr>
        <w:rFonts w:asciiTheme="majorHAnsi" w:eastAsiaTheme="majorEastAsia" w:hAnsiTheme="majorHAnsi" w:cstheme="majorBidi"/>
      </w:rPr>
      <w:tblPr/>
      <w:tcPr>
        <w:tcBorders>
          <w:top w:val="nil"/>
          <w:bottom w:val="single" w:sz="8" w:space="0" w:color="393838" w:themeColor="text1"/>
        </w:tcBorders>
      </w:tcPr>
    </w:tblStylePr>
    <w:tblStylePr w:type="lastRow">
      <w:rPr>
        <w:b/>
        <w:bCs/>
        <w:color w:val="393838" w:themeColor="text2"/>
      </w:rPr>
      <w:tblPr/>
      <w:tcPr>
        <w:tcBorders>
          <w:top w:val="single" w:sz="8" w:space="0" w:color="393838" w:themeColor="text1"/>
          <w:bottom w:val="single" w:sz="8" w:space="0" w:color="393838" w:themeColor="text1"/>
        </w:tcBorders>
      </w:tcPr>
    </w:tblStylePr>
    <w:tblStylePr w:type="firstCol">
      <w:rPr>
        <w:b/>
        <w:bCs/>
      </w:rPr>
    </w:tblStylePr>
    <w:tblStylePr w:type="lastCol">
      <w:rPr>
        <w:b/>
        <w:bCs/>
      </w:rPr>
      <w:tblPr/>
      <w:tcPr>
        <w:tcBorders>
          <w:top w:val="single" w:sz="8" w:space="0" w:color="393838" w:themeColor="text1"/>
          <w:bottom w:val="single" w:sz="8" w:space="0" w:color="393838" w:themeColor="text1"/>
        </w:tcBorders>
      </w:tcPr>
    </w:tblStylePr>
    <w:tblStylePr w:type="band1Vert">
      <w:tblPr/>
      <w:tcPr>
        <w:shd w:val="clear" w:color="auto" w:fill="CECDCD" w:themeFill="text1" w:themeFillTint="3F"/>
      </w:tcPr>
    </w:tblStylePr>
    <w:tblStylePr w:type="band1Horz">
      <w:tblPr/>
      <w:tcPr>
        <w:shd w:val="clear" w:color="auto" w:fill="CECDCD"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4F4E4E" w:themeColor="accent1"/>
        <w:bottom w:val="single" w:sz="8" w:space="0" w:color="4F4E4E" w:themeColor="accent1"/>
      </w:tblBorders>
    </w:tblPr>
    <w:tblStylePr w:type="firstRow">
      <w:rPr>
        <w:rFonts w:asciiTheme="majorHAnsi" w:eastAsiaTheme="majorEastAsia" w:hAnsiTheme="majorHAnsi" w:cstheme="majorBidi"/>
      </w:rPr>
      <w:tblPr/>
      <w:tcPr>
        <w:tcBorders>
          <w:top w:val="nil"/>
          <w:bottom w:val="single" w:sz="8" w:space="0" w:color="4F4E4E" w:themeColor="accent1"/>
        </w:tcBorders>
      </w:tcPr>
    </w:tblStylePr>
    <w:tblStylePr w:type="lastRow">
      <w:rPr>
        <w:b/>
        <w:bCs/>
        <w:color w:val="393838" w:themeColor="text2"/>
      </w:rPr>
      <w:tblPr/>
      <w:tcPr>
        <w:tcBorders>
          <w:top w:val="single" w:sz="8" w:space="0" w:color="4F4E4E" w:themeColor="accent1"/>
          <w:bottom w:val="single" w:sz="8" w:space="0" w:color="4F4E4E" w:themeColor="accent1"/>
        </w:tcBorders>
      </w:tcPr>
    </w:tblStylePr>
    <w:tblStylePr w:type="firstCol">
      <w:rPr>
        <w:b/>
        <w:bCs/>
      </w:rPr>
    </w:tblStylePr>
    <w:tblStylePr w:type="lastCol">
      <w:rPr>
        <w:b/>
        <w:bCs/>
      </w:rPr>
      <w:tblPr/>
      <w:tcPr>
        <w:tcBorders>
          <w:top w:val="single" w:sz="8" w:space="0" w:color="4F4E4E" w:themeColor="accent1"/>
          <w:bottom w:val="single" w:sz="8" w:space="0" w:color="4F4E4E" w:themeColor="accent1"/>
        </w:tcBorders>
      </w:tcPr>
    </w:tblStylePr>
    <w:tblStylePr w:type="band1Vert">
      <w:tblPr/>
      <w:tcPr>
        <w:shd w:val="clear" w:color="auto" w:fill="D3D3D3" w:themeFill="accent1" w:themeFillTint="3F"/>
      </w:tcPr>
    </w:tblStylePr>
    <w:tblStylePr w:type="band1Horz">
      <w:tblPr/>
      <w:tcPr>
        <w:shd w:val="clear" w:color="auto" w:fill="D3D3D3"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B7A7A" w:themeColor="accent2"/>
        <w:bottom w:val="single" w:sz="8" w:space="0" w:color="7B7A7A" w:themeColor="accent2"/>
      </w:tblBorders>
    </w:tblPr>
    <w:tblStylePr w:type="firstRow">
      <w:rPr>
        <w:rFonts w:asciiTheme="majorHAnsi" w:eastAsiaTheme="majorEastAsia" w:hAnsiTheme="majorHAnsi" w:cstheme="majorBidi"/>
      </w:rPr>
      <w:tblPr/>
      <w:tcPr>
        <w:tcBorders>
          <w:top w:val="nil"/>
          <w:bottom w:val="single" w:sz="8" w:space="0" w:color="7B7A7A" w:themeColor="accent2"/>
        </w:tcBorders>
      </w:tcPr>
    </w:tblStylePr>
    <w:tblStylePr w:type="lastRow">
      <w:rPr>
        <w:b/>
        <w:bCs/>
        <w:color w:val="393838" w:themeColor="text2"/>
      </w:rPr>
      <w:tblPr/>
      <w:tcPr>
        <w:tcBorders>
          <w:top w:val="single" w:sz="8" w:space="0" w:color="7B7A7A" w:themeColor="accent2"/>
          <w:bottom w:val="single" w:sz="8" w:space="0" w:color="7B7A7A" w:themeColor="accent2"/>
        </w:tcBorders>
      </w:tcPr>
    </w:tblStylePr>
    <w:tblStylePr w:type="firstCol">
      <w:rPr>
        <w:b/>
        <w:bCs/>
      </w:rPr>
    </w:tblStylePr>
    <w:tblStylePr w:type="lastCol">
      <w:rPr>
        <w:b/>
        <w:bCs/>
      </w:rPr>
      <w:tblPr/>
      <w:tcPr>
        <w:tcBorders>
          <w:top w:val="single" w:sz="8" w:space="0" w:color="7B7A7A" w:themeColor="accent2"/>
          <w:bottom w:val="single" w:sz="8" w:space="0" w:color="7B7A7A"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A7A7A6" w:themeColor="accent3"/>
        <w:bottom w:val="single" w:sz="8" w:space="0" w:color="A7A7A6" w:themeColor="accent3"/>
      </w:tblBorders>
    </w:tblPr>
    <w:tblStylePr w:type="firstRow">
      <w:rPr>
        <w:rFonts w:asciiTheme="majorHAnsi" w:eastAsiaTheme="majorEastAsia" w:hAnsiTheme="majorHAnsi" w:cstheme="majorBidi"/>
      </w:rPr>
      <w:tblPr/>
      <w:tcPr>
        <w:tcBorders>
          <w:top w:val="nil"/>
          <w:bottom w:val="single" w:sz="8" w:space="0" w:color="A7A7A6" w:themeColor="accent3"/>
        </w:tcBorders>
      </w:tcPr>
    </w:tblStylePr>
    <w:tblStylePr w:type="lastRow">
      <w:rPr>
        <w:b/>
        <w:bCs/>
        <w:color w:val="393838" w:themeColor="text2"/>
      </w:rPr>
      <w:tblPr/>
      <w:tcPr>
        <w:tcBorders>
          <w:top w:val="single" w:sz="8" w:space="0" w:color="A7A7A6" w:themeColor="accent3"/>
          <w:bottom w:val="single" w:sz="8" w:space="0" w:color="A7A7A6" w:themeColor="accent3"/>
        </w:tcBorders>
      </w:tcPr>
    </w:tblStylePr>
    <w:tblStylePr w:type="firstCol">
      <w:rPr>
        <w:b/>
        <w:bCs/>
      </w:rPr>
    </w:tblStylePr>
    <w:tblStylePr w:type="lastCol">
      <w:rPr>
        <w:b/>
        <w:bCs/>
      </w:rPr>
      <w:tblPr/>
      <w:tcPr>
        <w:tcBorders>
          <w:top w:val="single" w:sz="8" w:space="0" w:color="A7A7A6" w:themeColor="accent3"/>
          <w:bottom w:val="single" w:sz="8" w:space="0" w:color="A7A7A6" w:themeColor="accent3"/>
        </w:tcBorders>
      </w:tcPr>
    </w:tblStylePr>
    <w:tblStylePr w:type="band1Vert">
      <w:tblPr/>
      <w:tcPr>
        <w:shd w:val="clear" w:color="auto" w:fill="E9E9E8" w:themeFill="accent3" w:themeFillTint="3F"/>
      </w:tcPr>
    </w:tblStylePr>
    <w:tblStylePr w:type="band1Horz">
      <w:tblPr/>
      <w:tcPr>
        <w:shd w:val="clear" w:color="auto" w:fill="E9E9E8"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32222" w:themeColor="accent4"/>
        <w:bottom w:val="single" w:sz="8" w:space="0" w:color="232222" w:themeColor="accent4"/>
      </w:tblBorders>
    </w:tblPr>
    <w:tblStylePr w:type="firstRow">
      <w:rPr>
        <w:rFonts w:asciiTheme="majorHAnsi" w:eastAsiaTheme="majorEastAsia" w:hAnsiTheme="majorHAnsi" w:cstheme="majorBidi"/>
      </w:rPr>
      <w:tblPr/>
      <w:tcPr>
        <w:tcBorders>
          <w:top w:val="nil"/>
          <w:bottom w:val="single" w:sz="8" w:space="0" w:color="232222" w:themeColor="accent4"/>
        </w:tcBorders>
      </w:tcPr>
    </w:tblStylePr>
    <w:tblStylePr w:type="lastRow">
      <w:rPr>
        <w:b/>
        <w:bCs/>
        <w:color w:val="393838" w:themeColor="text2"/>
      </w:rPr>
      <w:tblPr/>
      <w:tcPr>
        <w:tcBorders>
          <w:top w:val="single" w:sz="8" w:space="0" w:color="232222" w:themeColor="accent4"/>
          <w:bottom w:val="single" w:sz="8" w:space="0" w:color="232222" w:themeColor="accent4"/>
        </w:tcBorders>
      </w:tcPr>
    </w:tblStylePr>
    <w:tblStylePr w:type="firstCol">
      <w:rPr>
        <w:b/>
        <w:bCs/>
      </w:rPr>
    </w:tblStylePr>
    <w:tblStylePr w:type="lastCol">
      <w:rPr>
        <w:b/>
        <w:bCs/>
      </w:rPr>
      <w:tblPr/>
      <w:tcPr>
        <w:tcBorders>
          <w:top w:val="single" w:sz="8" w:space="0" w:color="232222" w:themeColor="accent4"/>
          <w:bottom w:val="single" w:sz="8" w:space="0" w:color="232222" w:themeColor="accent4"/>
        </w:tcBorders>
      </w:tcPr>
    </w:tblStylePr>
    <w:tblStylePr w:type="band1Vert">
      <w:tblPr/>
      <w:tcPr>
        <w:shd w:val="clear" w:color="auto" w:fill="C9C7C7" w:themeFill="accent4" w:themeFillTint="3F"/>
      </w:tcPr>
    </w:tblStylePr>
    <w:tblStylePr w:type="band1Horz">
      <w:tblPr/>
      <w:tcPr>
        <w:shd w:val="clear" w:color="auto" w:fill="C9C7C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656464" w:themeColor="accent5"/>
        <w:bottom w:val="single" w:sz="8" w:space="0" w:color="656464" w:themeColor="accent5"/>
      </w:tblBorders>
    </w:tblPr>
    <w:tblStylePr w:type="firstRow">
      <w:rPr>
        <w:rFonts w:asciiTheme="majorHAnsi" w:eastAsiaTheme="majorEastAsia" w:hAnsiTheme="majorHAnsi" w:cstheme="majorBidi"/>
      </w:rPr>
      <w:tblPr/>
      <w:tcPr>
        <w:tcBorders>
          <w:top w:val="nil"/>
          <w:bottom w:val="single" w:sz="8" w:space="0" w:color="656464" w:themeColor="accent5"/>
        </w:tcBorders>
      </w:tcPr>
    </w:tblStylePr>
    <w:tblStylePr w:type="lastRow">
      <w:rPr>
        <w:b/>
        <w:bCs/>
        <w:color w:val="393838" w:themeColor="text2"/>
      </w:rPr>
      <w:tblPr/>
      <w:tcPr>
        <w:tcBorders>
          <w:top w:val="single" w:sz="8" w:space="0" w:color="656464" w:themeColor="accent5"/>
          <w:bottom w:val="single" w:sz="8" w:space="0" w:color="656464" w:themeColor="accent5"/>
        </w:tcBorders>
      </w:tcPr>
    </w:tblStylePr>
    <w:tblStylePr w:type="firstCol">
      <w:rPr>
        <w:b/>
        <w:bCs/>
      </w:rPr>
    </w:tblStylePr>
    <w:tblStylePr w:type="lastCol">
      <w:rPr>
        <w:b/>
        <w:bCs/>
      </w:rPr>
      <w:tblPr/>
      <w:tcPr>
        <w:tcBorders>
          <w:top w:val="single" w:sz="8" w:space="0" w:color="656464" w:themeColor="accent5"/>
          <w:bottom w:val="single" w:sz="8" w:space="0" w:color="656464" w:themeColor="accent5"/>
        </w:tcBorders>
      </w:tcPr>
    </w:tblStylePr>
    <w:tblStylePr w:type="band1Vert">
      <w:tblPr/>
      <w:tcPr>
        <w:shd w:val="clear" w:color="auto" w:fill="D9D8D8" w:themeFill="accent5" w:themeFillTint="3F"/>
      </w:tcPr>
    </w:tblStylePr>
    <w:tblStylePr w:type="band1Horz">
      <w:tblPr/>
      <w:tcPr>
        <w:shd w:val="clear" w:color="auto" w:fill="D9D8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919090" w:themeColor="accent6"/>
        <w:bottom w:val="single" w:sz="8" w:space="0" w:color="919090" w:themeColor="accent6"/>
      </w:tblBorders>
    </w:tblPr>
    <w:tblStylePr w:type="firstRow">
      <w:rPr>
        <w:rFonts w:asciiTheme="majorHAnsi" w:eastAsiaTheme="majorEastAsia" w:hAnsiTheme="majorHAnsi" w:cstheme="majorBidi"/>
      </w:rPr>
      <w:tblPr/>
      <w:tcPr>
        <w:tcBorders>
          <w:top w:val="nil"/>
          <w:bottom w:val="single" w:sz="8" w:space="0" w:color="919090" w:themeColor="accent6"/>
        </w:tcBorders>
      </w:tcPr>
    </w:tblStylePr>
    <w:tblStylePr w:type="lastRow">
      <w:rPr>
        <w:b/>
        <w:bCs/>
        <w:color w:val="393838" w:themeColor="text2"/>
      </w:rPr>
      <w:tblPr/>
      <w:tcPr>
        <w:tcBorders>
          <w:top w:val="single" w:sz="8" w:space="0" w:color="919090" w:themeColor="accent6"/>
          <w:bottom w:val="single" w:sz="8" w:space="0" w:color="919090" w:themeColor="accent6"/>
        </w:tcBorders>
      </w:tcPr>
    </w:tblStylePr>
    <w:tblStylePr w:type="firstCol">
      <w:rPr>
        <w:b/>
        <w:bCs/>
      </w:rPr>
    </w:tblStylePr>
    <w:tblStylePr w:type="lastCol">
      <w:rPr>
        <w:b/>
        <w:bCs/>
      </w:rPr>
      <w:tblPr/>
      <w:tcPr>
        <w:tcBorders>
          <w:top w:val="single" w:sz="8" w:space="0" w:color="919090" w:themeColor="accent6"/>
          <w:bottom w:val="single" w:sz="8" w:space="0" w:color="91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rPr>
        <w:sz w:val="24"/>
        <w:szCs w:val="24"/>
      </w:rPr>
      <w:tblPr/>
      <w:tcPr>
        <w:tcBorders>
          <w:top w:val="nil"/>
          <w:left w:val="nil"/>
          <w:bottom w:val="single" w:sz="24" w:space="0" w:color="393838" w:themeColor="text1"/>
          <w:right w:val="nil"/>
          <w:insideH w:val="nil"/>
          <w:insideV w:val="nil"/>
        </w:tcBorders>
        <w:shd w:val="clear" w:color="auto" w:fill="FFFFFF" w:themeFill="background1"/>
      </w:tcPr>
    </w:tblStylePr>
    <w:tblStylePr w:type="lastRow">
      <w:tblPr/>
      <w:tcPr>
        <w:tcBorders>
          <w:top w:val="single" w:sz="8" w:space="0" w:color="39383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3838" w:themeColor="text1"/>
          <w:insideH w:val="nil"/>
          <w:insideV w:val="nil"/>
        </w:tcBorders>
        <w:shd w:val="clear" w:color="auto" w:fill="FFFFFF" w:themeFill="background1"/>
      </w:tcPr>
    </w:tblStylePr>
    <w:tblStylePr w:type="lastCol">
      <w:tblPr/>
      <w:tcPr>
        <w:tcBorders>
          <w:top w:val="nil"/>
          <w:left w:val="single" w:sz="8" w:space="0" w:color="39383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top w:val="nil"/>
          <w:bottom w:val="nil"/>
          <w:insideH w:val="nil"/>
          <w:insideV w:val="nil"/>
        </w:tcBorders>
        <w:shd w:val="clear" w:color="auto" w:fill="CECD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rPr>
        <w:sz w:val="24"/>
        <w:szCs w:val="24"/>
      </w:rPr>
      <w:tblPr/>
      <w:tcPr>
        <w:tcBorders>
          <w:top w:val="nil"/>
          <w:left w:val="nil"/>
          <w:bottom w:val="single" w:sz="24" w:space="0" w:color="4F4E4E" w:themeColor="accent1"/>
          <w:right w:val="nil"/>
          <w:insideH w:val="nil"/>
          <w:insideV w:val="nil"/>
        </w:tcBorders>
        <w:shd w:val="clear" w:color="auto" w:fill="FFFFFF" w:themeFill="background1"/>
      </w:tcPr>
    </w:tblStylePr>
    <w:tblStylePr w:type="lastRow">
      <w:tblPr/>
      <w:tcPr>
        <w:tcBorders>
          <w:top w:val="single" w:sz="8" w:space="0" w:color="4F4E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4E4E" w:themeColor="accent1"/>
          <w:insideH w:val="nil"/>
          <w:insideV w:val="nil"/>
        </w:tcBorders>
        <w:shd w:val="clear" w:color="auto" w:fill="FFFFFF" w:themeFill="background1"/>
      </w:tcPr>
    </w:tblStylePr>
    <w:tblStylePr w:type="lastCol">
      <w:tblPr/>
      <w:tcPr>
        <w:tcBorders>
          <w:top w:val="nil"/>
          <w:left w:val="single" w:sz="8" w:space="0" w:color="4F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top w:val="nil"/>
          <w:bottom w:val="nil"/>
          <w:insideH w:val="nil"/>
          <w:insideV w:val="nil"/>
        </w:tcBorders>
        <w:shd w:val="clear" w:color="auto" w:fill="D3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rPr>
        <w:sz w:val="24"/>
        <w:szCs w:val="24"/>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tblPr/>
      <w:tcPr>
        <w:tcBorders>
          <w:top w:val="single" w:sz="8" w:space="0" w:color="7B7A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7A7A" w:themeColor="accent2"/>
          <w:insideH w:val="nil"/>
          <w:insideV w:val="nil"/>
        </w:tcBorders>
        <w:shd w:val="clear" w:color="auto" w:fill="FFFFFF" w:themeFill="background1"/>
      </w:tcPr>
    </w:tblStylePr>
    <w:tblStylePr w:type="lastCol">
      <w:tblPr/>
      <w:tcPr>
        <w:tcBorders>
          <w:top w:val="nil"/>
          <w:left w:val="single" w:sz="8" w:space="0" w:color="7B7A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rPr>
        <w:sz w:val="24"/>
        <w:szCs w:val="24"/>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tblPr/>
      <w:tcPr>
        <w:tcBorders>
          <w:top w:val="single" w:sz="8" w:space="0" w:color="A7A7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7A6" w:themeColor="accent3"/>
          <w:insideH w:val="nil"/>
          <w:insideV w:val="nil"/>
        </w:tcBorders>
        <w:shd w:val="clear" w:color="auto" w:fill="FFFFFF" w:themeFill="background1"/>
      </w:tcPr>
    </w:tblStylePr>
    <w:tblStylePr w:type="lastCol">
      <w:tblPr/>
      <w:tcPr>
        <w:tcBorders>
          <w:top w:val="nil"/>
          <w:left w:val="single" w:sz="8" w:space="0" w:color="A7A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top w:val="nil"/>
          <w:bottom w:val="nil"/>
          <w:insideH w:val="nil"/>
          <w:insideV w:val="nil"/>
        </w:tcBorders>
        <w:shd w:val="clear" w:color="auto" w:fill="E9E9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rPr>
        <w:sz w:val="24"/>
        <w:szCs w:val="24"/>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tblPr/>
      <w:tcPr>
        <w:tcBorders>
          <w:top w:val="single" w:sz="8" w:space="0" w:color="232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accent4"/>
          <w:insideH w:val="nil"/>
          <w:insideV w:val="nil"/>
        </w:tcBorders>
        <w:shd w:val="clear" w:color="auto" w:fill="FFFFFF" w:themeFill="background1"/>
      </w:tcPr>
    </w:tblStylePr>
    <w:tblStylePr w:type="lastCol">
      <w:tblPr/>
      <w:tcPr>
        <w:tcBorders>
          <w:top w:val="nil"/>
          <w:left w:val="single" w:sz="8" w:space="0" w:color="232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top w:val="nil"/>
          <w:bottom w:val="nil"/>
          <w:insideH w:val="nil"/>
          <w:insideV w:val="nil"/>
        </w:tcBorders>
        <w:shd w:val="clear" w:color="auto" w:fill="C9C7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rPr>
        <w:sz w:val="24"/>
        <w:szCs w:val="24"/>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tblPr/>
      <w:tcPr>
        <w:tcBorders>
          <w:top w:val="single" w:sz="8" w:space="0" w:color="6564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464" w:themeColor="accent5"/>
          <w:insideH w:val="nil"/>
          <w:insideV w:val="nil"/>
        </w:tcBorders>
        <w:shd w:val="clear" w:color="auto" w:fill="FFFFFF" w:themeFill="background1"/>
      </w:tcPr>
    </w:tblStylePr>
    <w:tblStylePr w:type="lastCol">
      <w:tblPr/>
      <w:tcPr>
        <w:tcBorders>
          <w:top w:val="nil"/>
          <w:left w:val="single" w:sz="8" w:space="0" w:color="6564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top w:val="nil"/>
          <w:bottom w:val="nil"/>
          <w:insideH w:val="nil"/>
          <w:insideV w:val="nil"/>
        </w:tcBorders>
        <w:shd w:val="clear" w:color="auto" w:fill="D9D8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rPr>
        <w:sz w:val="24"/>
        <w:szCs w:val="24"/>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tblPr/>
      <w:tcPr>
        <w:tcBorders>
          <w:top w:val="single" w:sz="8" w:space="0" w:color="91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090" w:themeColor="accent6"/>
          <w:insideH w:val="nil"/>
          <w:insideV w:val="nil"/>
        </w:tcBorders>
        <w:shd w:val="clear" w:color="auto" w:fill="FFFFFF" w:themeFill="background1"/>
      </w:tcPr>
    </w:tblStylePr>
    <w:tblStylePr w:type="lastCol">
      <w:tblPr/>
      <w:tcPr>
        <w:tcBorders>
          <w:top w:val="nil"/>
          <w:left w:val="single" w:sz="8" w:space="0" w:color="91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tblBorders>
    </w:tblPr>
    <w:tblStylePr w:type="firstRow">
      <w:pPr>
        <w:spacing w:before="0" w:after="0" w:line="240" w:lineRule="auto"/>
      </w:pPr>
      <w:rPr>
        <w:b/>
        <w:bCs/>
        <w:color w:val="FFFFFF" w:themeColor="background1"/>
      </w:rPr>
      <w:tblPr/>
      <w:tcPr>
        <w:tc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shd w:val="clear" w:color="auto" w:fill="393838" w:themeFill="text1"/>
      </w:tcPr>
    </w:tblStylePr>
    <w:tblStylePr w:type="lastRow">
      <w:pPr>
        <w:spacing w:before="0" w:after="0" w:line="240" w:lineRule="auto"/>
      </w:pPr>
      <w:rPr>
        <w:b/>
        <w:bCs/>
      </w:rPr>
      <w:tblPr/>
      <w:tcPr>
        <w:tcBorders>
          <w:top w:val="double" w:sz="6"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tcPr>
    </w:tblStylePr>
    <w:tblStylePr w:type="firstCol">
      <w:rPr>
        <w:b/>
        <w:bCs/>
      </w:rPr>
    </w:tblStylePr>
    <w:tblStylePr w:type="lastCol">
      <w:rPr>
        <w:b/>
        <w:bCs/>
      </w:rPr>
    </w:tblStylePr>
    <w:tblStylePr w:type="band1Vert">
      <w:tblPr/>
      <w:tcPr>
        <w:shd w:val="clear" w:color="auto" w:fill="CECDCD" w:themeFill="text1" w:themeFillTint="3F"/>
      </w:tcPr>
    </w:tblStylePr>
    <w:tblStylePr w:type="band1Horz">
      <w:tblPr/>
      <w:tcPr>
        <w:tcBorders>
          <w:insideH w:val="nil"/>
          <w:insideV w:val="nil"/>
        </w:tcBorders>
        <w:shd w:val="clear" w:color="auto" w:fill="CECD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tblBorders>
    </w:tblPr>
    <w:tblStylePr w:type="firstRow">
      <w:pPr>
        <w:spacing w:before="0" w:after="0" w:line="240" w:lineRule="auto"/>
      </w:pPr>
      <w:rPr>
        <w:b/>
        <w:bCs/>
        <w:color w:val="FFFFFF" w:themeColor="background1"/>
      </w:rPr>
      <w:tblPr/>
      <w:tcPr>
        <w:tc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shd w:val="clear" w:color="auto" w:fill="4F4E4E" w:themeFill="accent1"/>
      </w:tcPr>
    </w:tblStylePr>
    <w:tblStylePr w:type="lastRow">
      <w:pPr>
        <w:spacing w:before="0" w:after="0" w:line="240" w:lineRule="auto"/>
      </w:pPr>
      <w:rPr>
        <w:b/>
        <w:bCs/>
      </w:rPr>
      <w:tblPr/>
      <w:tcPr>
        <w:tcBorders>
          <w:top w:val="double" w:sz="6"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1" w:themeFillTint="3F"/>
      </w:tcPr>
    </w:tblStylePr>
    <w:tblStylePr w:type="band1Horz">
      <w:tblPr/>
      <w:tcPr>
        <w:tcBorders>
          <w:insideH w:val="nil"/>
          <w:insideV w:val="nil"/>
        </w:tcBorders>
        <w:shd w:val="clear" w:color="auto" w:fill="D3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tblBorders>
    </w:tblPr>
    <w:tblStylePr w:type="firstRow">
      <w:pPr>
        <w:spacing w:before="0" w:after="0" w:line="240" w:lineRule="auto"/>
      </w:pPr>
      <w:rPr>
        <w:b/>
        <w:bCs/>
        <w:color w:val="FFFFFF" w:themeColor="background1"/>
      </w:rPr>
      <w:tblPr/>
      <w:tcPr>
        <w:tc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shd w:val="clear" w:color="auto" w:fill="7B7A7A" w:themeFill="accent2"/>
      </w:tcPr>
    </w:tblStylePr>
    <w:tblStylePr w:type="lastRow">
      <w:pPr>
        <w:spacing w:before="0" w:after="0" w:line="240" w:lineRule="auto"/>
      </w:pPr>
      <w:rPr>
        <w:b/>
        <w:bCs/>
      </w:rPr>
      <w:tblPr/>
      <w:tcPr>
        <w:tcBorders>
          <w:top w:val="double" w:sz="6"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tblBorders>
    </w:tblPr>
    <w:tblStylePr w:type="firstRow">
      <w:pPr>
        <w:spacing w:before="0" w:after="0" w:line="240" w:lineRule="auto"/>
      </w:pPr>
      <w:rPr>
        <w:b/>
        <w:bCs/>
        <w:color w:val="FFFFFF" w:themeColor="background1"/>
      </w:rPr>
      <w:tblPr/>
      <w:tcPr>
        <w:tc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shd w:val="clear" w:color="auto" w:fill="A7A7A6" w:themeFill="accent3"/>
      </w:tcPr>
    </w:tblStylePr>
    <w:tblStylePr w:type="lastRow">
      <w:pPr>
        <w:spacing w:before="0" w:after="0" w:line="240" w:lineRule="auto"/>
      </w:pPr>
      <w:rPr>
        <w:b/>
        <w:bCs/>
      </w:rPr>
      <w:tblPr/>
      <w:tcPr>
        <w:tcBorders>
          <w:top w:val="double" w:sz="6"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9E8" w:themeFill="accent3" w:themeFillTint="3F"/>
      </w:tcPr>
    </w:tblStylePr>
    <w:tblStylePr w:type="band1Horz">
      <w:tblPr/>
      <w:tcPr>
        <w:tcBorders>
          <w:insideH w:val="nil"/>
          <w:insideV w:val="nil"/>
        </w:tcBorders>
        <w:shd w:val="clear" w:color="auto" w:fill="E9E9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tblBorders>
    </w:tblPr>
    <w:tblStylePr w:type="firstRow">
      <w:pPr>
        <w:spacing w:before="0" w:after="0" w:line="240" w:lineRule="auto"/>
      </w:pPr>
      <w:rPr>
        <w:b/>
        <w:bCs/>
        <w:color w:val="FFFFFF" w:themeColor="background1"/>
      </w:rPr>
      <w:tblPr/>
      <w:tcPr>
        <w:tc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shd w:val="clear" w:color="auto" w:fill="232222" w:themeFill="accent4"/>
      </w:tcPr>
    </w:tblStylePr>
    <w:tblStylePr w:type="lastRow">
      <w:pPr>
        <w:spacing w:before="0" w:after="0" w:line="240" w:lineRule="auto"/>
      </w:pPr>
      <w:rPr>
        <w:b/>
        <w:bCs/>
      </w:rPr>
      <w:tblPr/>
      <w:tcPr>
        <w:tcBorders>
          <w:top w:val="double" w:sz="6"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C7C7" w:themeFill="accent4" w:themeFillTint="3F"/>
      </w:tcPr>
    </w:tblStylePr>
    <w:tblStylePr w:type="band1Horz">
      <w:tblPr/>
      <w:tcPr>
        <w:tcBorders>
          <w:insideH w:val="nil"/>
          <w:insideV w:val="nil"/>
        </w:tcBorders>
        <w:shd w:val="clear" w:color="auto" w:fill="C9C7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tblBorders>
    </w:tblPr>
    <w:tblStylePr w:type="firstRow">
      <w:pPr>
        <w:spacing w:before="0" w:after="0" w:line="240" w:lineRule="auto"/>
      </w:pPr>
      <w:rPr>
        <w:b/>
        <w:bCs/>
        <w:color w:val="FFFFFF" w:themeColor="background1"/>
      </w:rPr>
      <w:tblPr/>
      <w:tcPr>
        <w:tc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shd w:val="clear" w:color="auto" w:fill="656464" w:themeFill="accent5"/>
      </w:tcPr>
    </w:tblStylePr>
    <w:tblStylePr w:type="lastRow">
      <w:pPr>
        <w:spacing w:before="0" w:after="0" w:line="240" w:lineRule="auto"/>
      </w:pPr>
      <w:rPr>
        <w:b/>
        <w:bCs/>
      </w:rPr>
      <w:tblPr/>
      <w:tcPr>
        <w:tcBorders>
          <w:top w:val="double" w:sz="6"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D8D8" w:themeFill="accent5" w:themeFillTint="3F"/>
      </w:tcPr>
    </w:tblStylePr>
    <w:tblStylePr w:type="band1Horz">
      <w:tblPr/>
      <w:tcPr>
        <w:tcBorders>
          <w:insideH w:val="nil"/>
          <w:insideV w:val="nil"/>
        </w:tcBorders>
        <w:shd w:val="clear" w:color="auto" w:fill="D9D8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tblBorders>
    </w:tblPr>
    <w:tblStylePr w:type="firstRow">
      <w:pPr>
        <w:spacing w:before="0" w:after="0" w:line="240" w:lineRule="auto"/>
      </w:pPr>
      <w:rPr>
        <w:b/>
        <w:bCs/>
        <w:color w:val="FFFFFF" w:themeColor="background1"/>
      </w:rPr>
      <w:tblPr/>
      <w:tcPr>
        <w:tc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shd w:val="clear" w:color="auto" w:fill="919090" w:themeFill="accent6"/>
      </w:tcPr>
    </w:tblStylePr>
    <w:tblStylePr w:type="lastRow">
      <w:pPr>
        <w:spacing w:before="0" w:after="0" w:line="240" w:lineRule="auto"/>
      </w:pPr>
      <w:rPr>
        <w:b/>
        <w:bCs/>
      </w:rPr>
      <w:tblPr/>
      <w:tcPr>
        <w:tcBorders>
          <w:top w:val="double" w:sz="6"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383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3838" w:themeFill="text1"/>
      </w:tcPr>
    </w:tblStylePr>
    <w:tblStylePr w:type="lastCol">
      <w:rPr>
        <w:b/>
        <w:bCs/>
        <w:color w:val="FFFFFF" w:themeColor="background1"/>
      </w:rPr>
      <w:tblPr/>
      <w:tcPr>
        <w:tcBorders>
          <w:left w:val="nil"/>
          <w:right w:val="nil"/>
          <w:insideH w:val="nil"/>
          <w:insideV w:val="nil"/>
        </w:tcBorders>
        <w:shd w:val="clear" w:color="auto" w:fill="39383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4E4E" w:themeFill="accent1"/>
      </w:tcPr>
    </w:tblStylePr>
    <w:tblStylePr w:type="lastCol">
      <w:rPr>
        <w:b/>
        <w:bCs/>
        <w:color w:val="FFFFFF" w:themeColor="background1"/>
      </w:rPr>
      <w:tblPr/>
      <w:tcPr>
        <w:tcBorders>
          <w:left w:val="nil"/>
          <w:right w:val="nil"/>
          <w:insideH w:val="nil"/>
          <w:insideV w:val="nil"/>
        </w:tcBorders>
        <w:shd w:val="clear" w:color="auto" w:fill="4F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7A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7A7A" w:themeFill="accent2"/>
      </w:tcPr>
    </w:tblStylePr>
    <w:tblStylePr w:type="lastCol">
      <w:rPr>
        <w:b/>
        <w:bCs/>
        <w:color w:val="FFFFFF" w:themeColor="background1"/>
      </w:rPr>
      <w:tblPr/>
      <w:tcPr>
        <w:tcBorders>
          <w:left w:val="nil"/>
          <w:right w:val="nil"/>
          <w:insideH w:val="nil"/>
          <w:insideV w:val="nil"/>
        </w:tcBorders>
        <w:shd w:val="clear" w:color="auto" w:fill="7B7A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7A6" w:themeFill="accent3"/>
      </w:tcPr>
    </w:tblStylePr>
    <w:tblStylePr w:type="lastCol">
      <w:rPr>
        <w:b/>
        <w:bCs/>
        <w:color w:val="FFFFFF" w:themeColor="background1"/>
      </w:rPr>
      <w:tblPr/>
      <w:tcPr>
        <w:tcBorders>
          <w:left w:val="nil"/>
          <w:right w:val="nil"/>
          <w:insideH w:val="nil"/>
          <w:insideV w:val="nil"/>
        </w:tcBorders>
        <w:shd w:val="clear" w:color="auto" w:fill="A7A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accent4"/>
      </w:tcPr>
    </w:tblStylePr>
    <w:tblStylePr w:type="lastCol">
      <w:rPr>
        <w:b/>
        <w:bCs/>
        <w:color w:val="FFFFFF" w:themeColor="background1"/>
      </w:rPr>
      <w:tblPr/>
      <w:tcPr>
        <w:tcBorders>
          <w:left w:val="nil"/>
          <w:right w:val="nil"/>
          <w:insideH w:val="nil"/>
          <w:insideV w:val="nil"/>
        </w:tcBorders>
        <w:shd w:val="clear" w:color="auto" w:fill="232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4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6464" w:themeFill="accent5"/>
      </w:tcPr>
    </w:tblStylePr>
    <w:tblStylePr w:type="lastCol">
      <w:rPr>
        <w:b/>
        <w:bCs/>
        <w:color w:val="FFFFFF" w:themeColor="background1"/>
      </w:rPr>
      <w:tblPr/>
      <w:tcPr>
        <w:tcBorders>
          <w:left w:val="nil"/>
          <w:right w:val="nil"/>
          <w:insideH w:val="nil"/>
          <w:insideV w:val="nil"/>
        </w:tcBorders>
        <w:shd w:val="clear" w:color="auto" w:fill="6564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090" w:themeFill="accent6"/>
      </w:tcPr>
    </w:tblStylePr>
    <w:tblStylePr w:type="lastCol">
      <w:rPr>
        <w:b/>
        <w:bCs/>
        <w:color w:val="FFFFFF" w:themeColor="background1"/>
      </w:rPr>
      <w:tblPr/>
      <w:tcPr>
        <w:tcBorders>
          <w:left w:val="nil"/>
          <w:right w:val="nil"/>
          <w:insideH w:val="nil"/>
          <w:insideV w:val="nil"/>
        </w:tcBorders>
        <w:shd w:val="clear" w:color="auto" w:fill="91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C9A9A" w:themeColor="text1" w:themeTint="80"/>
        <w:bottom w:val="single" w:sz="4" w:space="0" w:color="9C9A9A" w:themeColor="text1" w:themeTint="80"/>
      </w:tblBorders>
    </w:tblPr>
    <w:tblStylePr w:type="firstRow">
      <w:rPr>
        <w:b/>
        <w:bCs/>
      </w:rPr>
      <w:tblPr/>
      <w:tcPr>
        <w:tcBorders>
          <w:bottom w:val="single" w:sz="4" w:space="0" w:color="9C9A9A" w:themeColor="text1" w:themeTint="80"/>
        </w:tcBorders>
      </w:tcPr>
    </w:tblStylePr>
    <w:tblStylePr w:type="lastRow">
      <w:rPr>
        <w:b/>
        <w:bCs/>
      </w:rPr>
      <w:tblPr/>
      <w:tcPr>
        <w:tcBorders>
          <w:top w:val="single" w:sz="4" w:space="0" w:color="9C9A9A" w:themeColor="text1" w:themeTint="80"/>
        </w:tcBorders>
      </w:tcPr>
    </w:tblStylePr>
    <w:tblStylePr w:type="firstCol">
      <w:rPr>
        <w:b/>
        <w:bCs/>
      </w:rPr>
    </w:tblStylePr>
    <w:tblStylePr w:type="lastCol">
      <w:rPr>
        <w:b/>
        <w:bCs/>
      </w:rPr>
    </w:tblStylePr>
    <w:tblStylePr w:type="band1Vert">
      <w:tblPr/>
      <w:tcPr>
        <w:tcBorders>
          <w:left w:val="single" w:sz="4" w:space="0" w:color="9C9A9A" w:themeColor="text1" w:themeTint="80"/>
          <w:right w:val="single" w:sz="4" w:space="0" w:color="9C9A9A" w:themeColor="text1" w:themeTint="80"/>
        </w:tcBorders>
      </w:tcPr>
    </w:tblStylePr>
    <w:tblStylePr w:type="band2Vert">
      <w:tblPr/>
      <w:tcPr>
        <w:tcBorders>
          <w:left w:val="single" w:sz="4" w:space="0" w:color="9C9A9A" w:themeColor="text1" w:themeTint="80"/>
          <w:right w:val="single" w:sz="4" w:space="0" w:color="9C9A9A" w:themeColor="text1" w:themeTint="80"/>
        </w:tcBorders>
      </w:tcPr>
    </w:tblStylePr>
    <w:tblStylePr w:type="band1Horz">
      <w:tblPr/>
      <w:tcPr>
        <w:tcBorders>
          <w:top w:val="single" w:sz="4" w:space="0" w:color="9C9A9A" w:themeColor="text1" w:themeTint="80"/>
          <w:bottom w:val="single" w:sz="4" w:space="0" w:color="9C9A9A"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C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A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2174EC"/>
    <w:pPr>
      <w:spacing w:after="100"/>
      <w:ind w:left="1600"/>
    </w:pPr>
  </w:style>
  <w:style w:type="paragraph" w:customStyle="1" w:styleId="BodyTextIndented">
    <w:name w:val="Body Text Indented"/>
    <w:basedOn w:val="BodyText"/>
    <w:link w:val="BodyTextIndentedChar"/>
    <w:qFormat/>
    <w:rsid w:val="00555E4B"/>
    <w:pPr>
      <w:ind w:left="567"/>
    </w:pPr>
    <w:rPr>
      <w:lang w:eastAsia="en-AU"/>
    </w:rPr>
  </w:style>
  <w:style w:type="character" w:customStyle="1" w:styleId="BodyTextIndentedChar">
    <w:name w:val="Body Text Indented Char"/>
    <w:basedOn w:val="BodyTextChar"/>
    <w:link w:val="BodyTextIndented"/>
    <w:rsid w:val="00555E4B"/>
    <w:rPr>
      <w:rFonts w:cs="Times New Roman"/>
      <w:lang w:eastAsia="en-US"/>
    </w:rPr>
  </w:style>
  <w:style w:type="character" w:customStyle="1" w:styleId="normaltextrun">
    <w:name w:val="normaltextrun"/>
    <w:basedOn w:val="DefaultParagraphFont"/>
    <w:rsid w:val="00562798"/>
  </w:style>
  <w:style w:type="character" w:customStyle="1" w:styleId="eop">
    <w:name w:val="eop"/>
    <w:basedOn w:val="DefaultParagraphFont"/>
    <w:rsid w:val="00562798"/>
  </w:style>
  <w:style w:type="paragraph" w:styleId="Revision">
    <w:name w:val="Revision"/>
    <w:hidden/>
    <w:uiPriority w:val="99"/>
    <w:semiHidden/>
    <w:rsid w:val="006A6B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748719">
      <w:bodyDiv w:val="1"/>
      <w:marLeft w:val="0"/>
      <w:marRight w:val="0"/>
      <w:marTop w:val="0"/>
      <w:marBottom w:val="0"/>
      <w:divBdr>
        <w:top w:val="none" w:sz="0" w:space="0" w:color="auto"/>
        <w:left w:val="none" w:sz="0" w:space="0" w:color="auto"/>
        <w:bottom w:val="none" w:sz="0" w:space="0" w:color="auto"/>
        <w:right w:val="none" w:sz="0" w:space="0" w:color="auto"/>
      </w:divBdr>
      <w:divsChild>
        <w:div w:id="1729114085">
          <w:marLeft w:val="0"/>
          <w:marRight w:val="0"/>
          <w:marTop w:val="0"/>
          <w:marBottom w:val="0"/>
          <w:divBdr>
            <w:top w:val="none" w:sz="0" w:space="0" w:color="auto"/>
            <w:left w:val="none" w:sz="0" w:space="0" w:color="auto"/>
            <w:bottom w:val="none" w:sz="0" w:space="0" w:color="auto"/>
            <w:right w:val="none" w:sz="0" w:space="0" w:color="auto"/>
          </w:divBdr>
        </w:div>
        <w:div w:id="1861353862">
          <w:marLeft w:val="0"/>
          <w:marRight w:val="0"/>
          <w:marTop w:val="0"/>
          <w:marBottom w:val="0"/>
          <w:divBdr>
            <w:top w:val="none" w:sz="0" w:space="0" w:color="auto"/>
            <w:left w:val="none" w:sz="0" w:space="0" w:color="auto"/>
            <w:bottom w:val="none" w:sz="0" w:space="0" w:color="auto"/>
            <w:right w:val="none" w:sz="0" w:space="0" w:color="auto"/>
          </w:divBdr>
        </w:div>
      </w:divsChild>
    </w:div>
    <w:div w:id="278142946">
      <w:bodyDiv w:val="1"/>
      <w:marLeft w:val="0"/>
      <w:marRight w:val="0"/>
      <w:marTop w:val="0"/>
      <w:marBottom w:val="0"/>
      <w:divBdr>
        <w:top w:val="none" w:sz="0" w:space="0" w:color="auto"/>
        <w:left w:val="none" w:sz="0" w:space="0" w:color="auto"/>
        <w:bottom w:val="none" w:sz="0" w:space="0" w:color="auto"/>
        <w:right w:val="none" w:sz="0" w:space="0" w:color="auto"/>
      </w:divBdr>
      <w:divsChild>
        <w:div w:id="854659604">
          <w:marLeft w:val="0"/>
          <w:marRight w:val="0"/>
          <w:marTop w:val="0"/>
          <w:marBottom w:val="0"/>
          <w:divBdr>
            <w:top w:val="none" w:sz="0" w:space="0" w:color="auto"/>
            <w:left w:val="none" w:sz="0" w:space="0" w:color="auto"/>
            <w:bottom w:val="none" w:sz="0" w:space="0" w:color="auto"/>
            <w:right w:val="none" w:sz="0" w:space="0" w:color="auto"/>
          </w:divBdr>
        </w:div>
        <w:div w:id="1394817589">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486396">
      <w:bodyDiv w:val="1"/>
      <w:marLeft w:val="0"/>
      <w:marRight w:val="0"/>
      <w:marTop w:val="0"/>
      <w:marBottom w:val="0"/>
      <w:divBdr>
        <w:top w:val="none" w:sz="0" w:space="0" w:color="auto"/>
        <w:left w:val="none" w:sz="0" w:space="0" w:color="auto"/>
        <w:bottom w:val="none" w:sz="0" w:space="0" w:color="auto"/>
        <w:right w:val="none" w:sz="0" w:space="0" w:color="auto"/>
      </w:divBdr>
    </w:div>
    <w:div w:id="332537463">
      <w:bodyDiv w:val="1"/>
      <w:marLeft w:val="0"/>
      <w:marRight w:val="0"/>
      <w:marTop w:val="0"/>
      <w:marBottom w:val="0"/>
      <w:divBdr>
        <w:top w:val="none" w:sz="0" w:space="0" w:color="auto"/>
        <w:left w:val="none" w:sz="0" w:space="0" w:color="auto"/>
        <w:bottom w:val="none" w:sz="0" w:space="0" w:color="auto"/>
        <w:right w:val="none" w:sz="0" w:space="0" w:color="auto"/>
      </w:divBdr>
    </w:div>
    <w:div w:id="399056040">
      <w:bodyDiv w:val="1"/>
      <w:marLeft w:val="0"/>
      <w:marRight w:val="0"/>
      <w:marTop w:val="0"/>
      <w:marBottom w:val="0"/>
      <w:divBdr>
        <w:top w:val="none" w:sz="0" w:space="0" w:color="auto"/>
        <w:left w:val="none" w:sz="0" w:space="0" w:color="auto"/>
        <w:bottom w:val="none" w:sz="0" w:space="0" w:color="auto"/>
        <w:right w:val="none" w:sz="0" w:space="0" w:color="auto"/>
      </w:divBdr>
      <w:divsChild>
        <w:div w:id="1330644820">
          <w:marLeft w:val="0"/>
          <w:marRight w:val="0"/>
          <w:marTop w:val="0"/>
          <w:marBottom w:val="0"/>
          <w:divBdr>
            <w:top w:val="none" w:sz="0" w:space="0" w:color="auto"/>
            <w:left w:val="none" w:sz="0" w:space="0" w:color="auto"/>
            <w:bottom w:val="none" w:sz="0" w:space="0" w:color="auto"/>
            <w:right w:val="none" w:sz="0" w:space="0" w:color="auto"/>
          </w:divBdr>
          <w:divsChild>
            <w:div w:id="857233866">
              <w:marLeft w:val="0"/>
              <w:marRight w:val="0"/>
              <w:marTop w:val="0"/>
              <w:marBottom w:val="0"/>
              <w:divBdr>
                <w:top w:val="none" w:sz="0" w:space="0" w:color="auto"/>
                <w:left w:val="none" w:sz="0" w:space="0" w:color="auto"/>
                <w:bottom w:val="none" w:sz="0" w:space="0" w:color="auto"/>
                <w:right w:val="none" w:sz="0" w:space="0" w:color="auto"/>
              </w:divBdr>
            </w:div>
          </w:divsChild>
        </w:div>
        <w:div w:id="879434154">
          <w:marLeft w:val="0"/>
          <w:marRight w:val="0"/>
          <w:marTop w:val="0"/>
          <w:marBottom w:val="0"/>
          <w:divBdr>
            <w:top w:val="none" w:sz="0" w:space="0" w:color="auto"/>
            <w:left w:val="none" w:sz="0" w:space="0" w:color="auto"/>
            <w:bottom w:val="none" w:sz="0" w:space="0" w:color="auto"/>
            <w:right w:val="none" w:sz="0" w:space="0" w:color="auto"/>
          </w:divBdr>
          <w:divsChild>
            <w:div w:id="411052183">
              <w:marLeft w:val="0"/>
              <w:marRight w:val="0"/>
              <w:marTop w:val="0"/>
              <w:marBottom w:val="0"/>
              <w:divBdr>
                <w:top w:val="none" w:sz="0" w:space="0" w:color="auto"/>
                <w:left w:val="none" w:sz="0" w:space="0" w:color="auto"/>
                <w:bottom w:val="none" w:sz="0" w:space="0" w:color="auto"/>
                <w:right w:val="none" w:sz="0" w:space="0" w:color="auto"/>
              </w:divBdr>
            </w:div>
          </w:divsChild>
        </w:div>
        <w:div w:id="1964773731">
          <w:marLeft w:val="0"/>
          <w:marRight w:val="0"/>
          <w:marTop w:val="0"/>
          <w:marBottom w:val="0"/>
          <w:divBdr>
            <w:top w:val="none" w:sz="0" w:space="0" w:color="auto"/>
            <w:left w:val="none" w:sz="0" w:space="0" w:color="auto"/>
            <w:bottom w:val="none" w:sz="0" w:space="0" w:color="auto"/>
            <w:right w:val="none" w:sz="0" w:space="0" w:color="auto"/>
          </w:divBdr>
          <w:divsChild>
            <w:div w:id="547649300">
              <w:marLeft w:val="0"/>
              <w:marRight w:val="0"/>
              <w:marTop w:val="0"/>
              <w:marBottom w:val="0"/>
              <w:divBdr>
                <w:top w:val="none" w:sz="0" w:space="0" w:color="auto"/>
                <w:left w:val="none" w:sz="0" w:space="0" w:color="auto"/>
                <w:bottom w:val="none" w:sz="0" w:space="0" w:color="auto"/>
                <w:right w:val="none" w:sz="0" w:space="0" w:color="auto"/>
              </w:divBdr>
            </w:div>
          </w:divsChild>
        </w:div>
        <w:div w:id="842744873">
          <w:marLeft w:val="0"/>
          <w:marRight w:val="0"/>
          <w:marTop w:val="0"/>
          <w:marBottom w:val="0"/>
          <w:divBdr>
            <w:top w:val="none" w:sz="0" w:space="0" w:color="auto"/>
            <w:left w:val="none" w:sz="0" w:space="0" w:color="auto"/>
            <w:bottom w:val="none" w:sz="0" w:space="0" w:color="auto"/>
            <w:right w:val="none" w:sz="0" w:space="0" w:color="auto"/>
          </w:divBdr>
          <w:divsChild>
            <w:div w:id="239872518">
              <w:marLeft w:val="0"/>
              <w:marRight w:val="0"/>
              <w:marTop w:val="0"/>
              <w:marBottom w:val="0"/>
              <w:divBdr>
                <w:top w:val="none" w:sz="0" w:space="0" w:color="auto"/>
                <w:left w:val="none" w:sz="0" w:space="0" w:color="auto"/>
                <w:bottom w:val="none" w:sz="0" w:space="0" w:color="auto"/>
                <w:right w:val="none" w:sz="0" w:space="0" w:color="auto"/>
              </w:divBdr>
            </w:div>
          </w:divsChild>
        </w:div>
        <w:div w:id="784075743">
          <w:marLeft w:val="0"/>
          <w:marRight w:val="0"/>
          <w:marTop w:val="0"/>
          <w:marBottom w:val="0"/>
          <w:divBdr>
            <w:top w:val="none" w:sz="0" w:space="0" w:color="auto"/>
            <w:left w:val="none" w:sz="0" w:space="0" w:color="auto"/>
            <w:bottom w:val="none" w:sz="0" w:space="0" w:color="auto"/>
            <w:right w:val="none" w:sz="0" w:space="0" w:color="auto"/>
          </w:divBdr>
          <w:divsChild>
            <w:div w:id="1693875073">
              <w:marLeft w:val="0"/>
              <w:marRight w:val="0"/>
              <w:marTop w:val="0"/>
              <w:marBottom w:val="0"/>
              <w:divBdr>
                <w:top w:val="none" w:sz="0" w:space="0" w:color="auto"/>
                <w:left w:val="none" w:sz="0" w:space="0" w:color="auto"/>
                <w:bottom w:val="none" w:sz="0" w:space="0" w:color="auto"/>
                <w:right w:val="none" w:sz="0" w:space="0" w:color="auto"/>
              </w:divBdr>
            </w:div>
          </w:divsChild>
        </w:div>
        <w:div w:id="2090691619">
          <w:marLeft w:val="0"/>
          <w:marRight w:val="0"/>
          <w:marTop w:val="0"/>
          <w:marBottom w:val="0"/>
          <w:divBdr>
            <w:top w:val="none" w:sz="0" w:space="0" w:color="auto"/>
            <w:left w:val="none" w:sz="0" w:space="0" w:color="auto"/>
            <w:bottom w:val="none" w:sz="0" w:space="0" w:color="auto"/>
            <w:right w:val="none" w:sz="0" w:space="0" w:color="auto"/>
          </w:divBdr>
          <w:divsChild>
            <w:div w:id="1864709837">
              <w:marLeft w:val="0"/>
              <w:marRight w:val="0"/>
              <w:marTop w:val="0"/>
              <w:marBottom w:val="0"/>
              <w:divBdr>
                <w:top w:val="none" w:sz="0" w:space="0" w:color="auto"/>
                <w:left w:val="none" w:sz="0" w:space="0" w:color="auto"/>
                <w:bottom w:val="none" w:sz="0" w:space="0" w:color="auto"/>
                <w:right w:val="none" w:sz="0" w:space="0" w:color="auto"/>
              </w:divBdr>
            </w:div>
          </w:divsChild>
        </w:div>
        <w:div w:id="2054305619">
          <w:marLeft w:val="0"/>
          <w:marRight w:val="0"/>
          <w:marTop w:val="0"/>
          <w:marBottom w:val="0"/>
          <w:divBdr>
            <w:top w:val="none" w:sz="0" w:space="0" w:color="auto"/>
            <w:left w:val="none" w:sz="0" w:space="0" w:color="auto"/>
            <w:bottom w:val="none" w:sz="0" w:space="0" w:color="auto"/>
            <w:right w:val="none" w:sz="0" w:space="0" w:color="auto"/>
          </w:divBdr>
          <w:divsChild>
            <w:div w:id="506988744">
              <w:marLeft w:val="0"/>
              <w:marRight w:val="0"/>
              <w:marTop w:val="0"/>
              <w:marBottom w:val="0"/>
              <w:divBdr>
                <w:top w:val="none" w:sz="0" w:space="0" w:color="auto"/>
                <w:left w:val="none" w:sz="0" w:space="0" w:color="auto"/>
                <w:bottom w:val="none" w:sz="0" w:space="0" w:color="auto"/>
                <w:right w:val="none" w:sz="0" w:space="0" w:color="auto"/>
              </w:divBdr>
            </w:div>
          </w:divsChild>
        </w:div>
        <w:div w:id="238059275">
          <w:marLeft w:val="0"/>
          <w:marRight w:val="0"/>
          <w:marTop w:val="0"/>
          <w:marBottom w:val="0"/>
          <w:divBdr>
            <w:top w:val="none" w:sz="0" w:space="0" w:color="auto"/>
            <w:left w:val="none" w:sz="0" w:space="0" w:color="auto"/>
            <w:bottom w:val="none" w:sz="0" w:space="0" w:color="auto"/>
            <w:right w:val="none" w:sz="0" w:space="0" w:color="auto"/>
          </w:divBdr>
          <w:divsChild>
            <w:div w:id="11499722">
              <w:marLeft w:val="0"/>
              <w:marRight w:val="0"/>
              <w:marTop w:val="0"/>
              <w:marBottom w:val="0"/>
              <w:divBdr>
                <w:top w:val="none" w:sz="0" w:space="0" w:color="auto"/>
                <w:left w:val="none" w:sz="0" w:space="0" w:color="auto"/>
                <w:bottom w:val="none" w:sz="0" w:space="0" w:color="auto"/>
                <w:right w:val="none" w:sz="0" w:space="0" w:color="auto"/>
              </w:divBdr>
            </w:div>
          </w:divsChild>
        </w:div>
        <w:div w:id="1352225789">
          <w:marLeft w:val="0"/>
          <w:marRight w:val="0"/>
          <w:marTop w:val="0"/>
          <w:marBottom w:val="0"/>
          <w:divBdr>
            <w:top w:val="none" w:sz="0" w:space="0" w:color="auto"/>
            <w:left w:val="none" w:sz="0" w:space="0" w:color="auto"/>
            <w:bottom w:val="none" w:sz="0" w:space="0" w:color="auto"/>
            <w:right w:val="none" w:sz="0" w:space="0" w:color="auto"/>
          </w:divBdr>
          <w:divsChild>
            <w:div w:id="49429834">
              <w:marLeft w:val="0"/>
              <w:marRight w:val="0"/>
              <w:marTop w:val="0"/>
              <w:marBottom w:val="0"/>
              <w:divBdr>
                <w:top w:val="none" w:sz="0" w:space="0" w:color="auto"/>
                <w:left w:val="none" w:sz="0" w:space="0" w:color="auto"/>
                <w:bottom w:val="none" w:sz="0" w:space="0" w:color="auto"/>
                <w:right w:val="none" w:sz="0" w:space="0" w:color="auto"/>
              </w:divBdr>
            </w:div>
          </w:divsChild>
        </w:div>
        <w:div w:id="89550816">
          <w:marLeft w:val="0"/>
          <w:marRight w:val="0"/>
          <w:marTop w:val="0"/>
          <w:marBottom w:val="0"/>
          <w:divBdr>
            <w:top w:val="none" w:sz="0" w:space="0" w:color="auto"/>
            <w:left w:val="none" w:sz="0" w:space="0" w:color="auto"/>
            <w:bottom w:val="none" w:sz="0" w:space="0" w:color="auto"/>
            <w:right w:val="none" w:sz="0" w:space="0" w:color="auto"/>
          </w:divBdr>
          <w:divsChild>
            <w:div w:id="828208243">
              <w:marLeft w:val="0"/>
              <w:marRight w:val="0"/>
              <w:marTop w:val="0"/>
              <w:marBottom w:val="0"/>
              <w:divBdr>
                <w:top w:val="none" w:sz="0" w:space="0" w:color="auto"/>
                <w:left w:val="none" w:sz="0" w:space="0" w:color="auto"/>
                <w:bottom w:val="none" w:sz="0" w:space="0" w:color="auto"/>
                <w:right w:val="none" w:sz="0" w:space="0" w:color="auto"/>
              </w:divBdr>
            </w:div>
          </w:divsChild>
        </w:div>
        <w:div w:id="1527327804">
          <w:marLeft w:val="0"/>
          <w:marRight w:val="0"/>
          <w:marTop w:val="0"/>
          <w:marBottom w:val="0"/>
          <w:divBdr>
            <w:top w:val="none" w:sz="0" w:space="0" w:color="auto"/>
            <w:left w:val="none" w:sz="0" w:space="0" w:color="auto"/>
            <w:bottom w:val="none" w:sz="0" w:space="0" w:color="auto"/>
            <w:right w:val="none" w:sz="0" w:space="0" w:color="auto"/>
          </w:divBdr>
          <w:divsChild>
            <w:div w:id="2118403840">
              <w:marLeft w:val="0"/>
              <w:marRight w:val="0"/>
              <w:marTop w:val="0"/>
              <w:marBottom w:val="0"/>
              <w:divBdr>
                <w:top w:val="none" w:sz="0" w:space="0" w:color="auto"/>
                <w:left w:val="none" w:sz="0" w:space="0" w:color="auto"/>
                <w:bottom w:val="none" w:sz="0" w:space="0" w:color="auto"/>
                <w:right w:val="none" w:sz="0" w:space="0" w:color="auto"/>
              </w:divBdr>
            </w:div>
          </w:divsChild>
        </w:div>
        <w:div w:id="1466123833">
          <w:marLeft w:val="0"/>
          <w:marRight w:val="0"/>
          <w:marTop w:val="0"/>
          <w:marBottom w:val="0"/>
          <w:divBdr>
            <w:top w:val="none" w:sz="0" w:space="0" w:color="auto"/>
            <w:left w:val="none" w:sz="0" w:space="0" w:color="auto"/>
            <w:bottom w:val="none" w:sz="0" w:space="0" w:color="auto"/>
            <w:right w:val="none" w:sz="0" w:space="0" w:color="auto"/>
          </w:divBdr>
          <w:divsChild>
            <w:div w:id="78793385">
              <w:marLeft w:val="0"/>
              <w:marRight w:val="0"/>
              <w:marTop w:val="0"/>
              <w:marBottom w:val="0"/>
              <w:divBdr>
                <w:top w:val="none" w:sz="0" w:space="0" w:color="auto"/>
                <w:left w:val="none" w:sz="0" w:space="0" w:color="auto"/>
                <w:bottom w:val="none" w:sz="0" w:space="0" w:color="auto"/>
                <w:right w:val="none" w:sz="0" w:space="0" w:color="auto"/>
              </w:divBdr>
            </w:div>
          </w:divsChild>
        </w:div>
        <w:div w:id="1424952177">
          <w:marLeft w:val="0"/>
          <w:marRight w:val="0"/>
          <w:marTop w:val="0"/>
          <w:marBottom w:val="0"/>
          <w:divBdr>
            <w:top w:val="none" w:sz="0" w:space="0" w:color="auto"/>
            <w:left w:val="none" w:sz="0" w:space="0" w:color="auto"/>
            <w:bottom w:val="none" w:sz="0" w:space="0" w:color="auto"/>
            <w:right w:val="none" w:sz="0" w:space="0" w:color="auto"/>
          </w:divBdr>
          <w:divsChild>
            <w:div w:id="267391693">
              <w:marLeft w:val="0"/>
              <w:marRight w:val="0"/>
              <w:marTop w:val="0"/>
              <w:marBottom w:val="0"/>
              <w:divBdr>
                <w:top w:val="none" w:sz="0" w:space="0" w:color="auto"/>
                <w:left w:val="none" w:sz="0" w:space="0" w:color="auto"/>
                <w:bottom w:val="none" w:sz="0" w:space="0" w:color="auto"/>
                <w:right w:val="none" w:sz="0" w:space="0" w:color="auto"/>
              </w:divBdr>
            </w:div>
          </w:divsChild>
        </w:div>
        <w:div w:id="96948427">
          <w:marLeft w:val="0"/>
          <w:marRight w:val="0"/>
          <w:marTop w:val="0"/>
          <w:marBottom w:val="0"/>
          <w:divBdr>
            <w:top w:val="none" w:sz="0" w:space="0" w:color="auto"/>
            <w:left w:val="none" w:sz="0" w:space="0" w:color="auto"/>
            <w:bottom w:val="none" w:sz="0" w:space="0" w:color="auto"/>
            <w:right w:val="none" w:sz="0" w:space="0" w:color="auto"/>
          </w:divBdr>
          <w:divsChild>
            <w:div w:id="1873034364">
              <w:marLeft w:val="0"/>
              <w:marRight w:val="0"/>
              <w:marTop w:val="0"/>
              <w:marBottom w:val="0"/>
              <w:divBdr>
                <w:top w:val="none" w:sz="0" w:space="0" w:color="auto"/>
                <w:left w:val="none" w:sz="0" w:space="0" w:color="auto"/>
                <w:bottom w:val="none" w:sz="0" w:space="0" w:color="auto"/>
                <w:right w:val="none" w:sz="0" w:space="0" w:color="auto"/>
              </w:divBdr>
            </w:div>
          </w:divsChild>
        </w:div>
        <w:div w:id="694157373">
          <w:marLeft w:val="0"/>
          <w:marRight w:val="0"/>
          <w:marTop w:val="0"/>
          <w:marBottom w:val="0"/>
          <w:divBdr>
            <w:top w:val="none" w:sz="0" w:space="0" w:color="auto"/>
            <w:left w:val="none" w:sz="0" w:space="0" w:color="auto"/>
            <w:bottom w:val="none" w:sz="0" w:space="0" w:color="auto"/>
            <w:right w:val="none" w:sz="0" w:space="0" w:color="auto"/>
          </w:divBdr>
          <w:divsChild>
            <w:div w:id="232129317">
              <w:marLeft w:val="0"/>
              <w:marRight w:val="0"/>
              <w:marTop w:val="0"/>
              <w:marBottom w:val="0"/>
              <w:divBdr>
                <w:top w:val="none" w:sz="0" w:space="0" w:color="auto"/>
                <w:left w:val="none" w:sz="0" w:space="0" w:color="auto"/>
                <w:bottom w:val="none" w:sz="0" w:space="0" w:color="auto"/>
                <w:right w:val="none" w:sz="0" w:space="0" w:color="auto"/>
              </w:divBdr>
            </w:div>
          </w:divsChild>
        </w:div>
        <w:div w:id="1438603182">
          <w:marLeft w:val="0"/>
          <w:marRight w:val="0"/>
          <w:marTop w:val="0"/>
          <w:marBottom w:val="0"/>
          <w:divBdr>
            <w:top w:val="none" w:sz="0" w:space="0" w:color="auto"/>
            <w:left w:val="none" w:sz="0" w:space="0" w:color="auto"/>
            <w:bottom w:val="none" w:sz="0" w:space="0" w:color="auto"/>
            <w:right w:val="none" w:sz="0" w:space="0" w:color="auto"/>
          </w:divBdr>
          <w:divsChild>
            <w:div w:id="848132747">
              <w:marLeft w:val="0"/>
              <w:marRight w:val="0"/>
              <w:marTop w:val="0"/>
              <w:marBottom w:val="0"/>
              <w:divBdr>
                <w:top w:val="none" w:sz="0" w:space="0" w:color="auto"/>
                <w:left w:val="none" w:sz="0" w:space="0" w:color="auto"/>
                <w:bottom w:val="none" w:sz="0" w:space="0" w:color="auto"/>
                <w:right w:val="none" w:sz="0" w:space="0" w:color="auto"/>
              </w:divBdr>
            </w:div>
          </w:divsChild>
        </w:div>
        <w:div w:id="2124375715">
          <w:marLeft w:val="0"/>
          <w:marRight w:val="0"/>
          <w:marTop w:val="0"/>
          <w:marBottom w:val="0"/>
          <w:divBdr>
            <w:top w:val="none" w:sz="0" w:space="0" w:color="auto"/>
            <w:left w:val="none" w:sz="0" w:space="0" w:color="auto"/>
            <w:bottom w:val="none" w:sz="0" w:space="0" w:color="auto"/>
            <w:right w:val="none" w:sz="0" w:space="0" w:color="auto"/>
          </w:divBdr>
          <w:divsChild>
            <w:div w:id="1490557997">
              <w:marLeft w:val="0"/>
              <w:marRight w:val="0"/>
              <w:marTop w:val="0"/>
              <w:marBottom w:val="0"/>
              <w:divBdr>
                <w:top w:val="none" w:sz="0" w:space="0" w:color="auto"/>
                <w:left w:val="none" w:sz="0" w:space="0" w:color="auto"/>
                <w:bottom w:val="none" w:sz="0" w:space="0" w:color="auto"/>
                <w:right w:val="none" w:sz="0" w:space="0" w:color="auto"/>
              </w:divBdr>
            </w:div>
          </w:divsChild>
        </w:div>
        <w:div w:id="894201039">
          <w:marLeft w:val="0"/>
          <w:marRight w:val="0"/>
          <w:marTop w:val="0"/>
          <w:marBottom w:val="0"/>
          <w:divBdr>
            <w:top w:val="none" w:sz="0" w:space="0" w:color="auto"/>
            <w:left w:val="none" w:sz="0" w:space="0" w:color="auto"/>
            <w:bottom w:val="none" w:sz="0" w:space="0" w:color="auto"/>
            <w:right w:val="none" w:sz="0" w:space="0" w:color="auto"/>
          </w:divBdr>
          <w:divsChild>
            <w:div w:id="275796639">
              <w:marLeft w:val="0"/>
              <w:marRight w:val="0"/>
              <w:marTop w:val="0"/>
              <w:marBottom w:val="0"/>
              <w:divBdr>
                <w:top w:val="none" w:sz="0" w:space="0" w:color="auto"/>
                <w:left w:val="none" w:sz="0" w:space="0" w:color="auto"/>
                <w:bottom w:val="none" w:sz="0" w:space="0" w:color="auto"/>
                <w:right w:val="none" w:sz="0" w:space="0" w:color="auto"/>
              </w:divBdr>
            </w:div>
          </w:divsChild>
        </w:div>
        <w:div w:id="748313105">
          <w:marLeft w:val="0"/>
          <w:marRight w:val="0"/>
          <w:marTop w:val="0"/>
          <w:marBottom w:val="0"/>
          <w:divBdr>
            <w:top w:val="none" w:sz="0" w:space="0" w:color="auto"/>
            <w:left w:val="none" w:sz="0" w:space="0" w:color="auto"/>
            <w:bottom w:val="none" w:sz="0" w:space="0" w:color="auto"/>
            <w:right w:val="none" w:sz="0" w:space="0" w:color="auto"/>
          </w:divBdr>
          <w:divsChild>
            <w:div w:id="1693991194">
              <w:marLeft w:val="0"/>
              <w:marRight w:val="0"/>
              <w:marTop w:val="0"/>
              <w:marBottom w:val="0"/>
              <w:divBdr>
                <w:top w:val="none" w:sz="0" w:space="0" w:color="auto"/>
                <w:left w:val="none" w:sz="0" w:space="0" w:color="auto"/>
                <w:bottom w:val="none" w:sz="0" w:space="0" w:color="auto"/>
                <w:right w:val="none" w:sz="0" w:space="0" w:color="auto"/>
              </w:divBdr>
            </w:div>
          </w:divsChild>
        </w:div>
        <w:div w:id="1391071973">
          <w:marLeft w:val="0"/>
          <w:marRight w:val="0"/>
          <w:marTop w:val="0"/>
          <w:marBottom w:val="0"/>
          <w:divBdr>
            <w:top w:val="none" w:sz="0" w:space="0" w:color="auto"/>
            <w:left w:val="none" w:sz="0" w:space="0" w:color="auto"/>
            <w:bottom w:val="none" w:sz="0" w:space="0" w:color="auto"/>
            <w:right w:val="none" w:sz="0" w:space="0" w:color="auto"/>
          </w:divBdr>
          <w:divsChild>
            <w:div w:id="1623224814">
              <w:marLeft w:val="0"/>
              <w:marRight w:val="0"/>
              <w:marTop w:val="0"/>
              <w:marBottom w:val="0"/>
              <w:divBdr>
                <w:top w:val="none" w:sz="0" w:space="0" w:color="auto"/>
                <w:left w:val="none" w:sz="0" w:space="0" w:color="auto"/>
                <w:bottom w:val="none" w:sz="0" w:space="0" w:color="auto"/>
                <w:right w:val="none" w:sz="0" w:space="0" w:color="auto"/>
              </w:divBdr>
            </w:div>
          </w:divsChild>
        </w:div>
        <w:div w:id="859508585">
          <w:marLeft w:val="0"/>
          <w:marRight w:val="0"/>
          <w:marTop w:val="0"/>
          <w:marBottom w:val="0"/>
          <w:divBdr>
            <w:top w:val="none" w:sz="0" w:space="0" w:color="auto"/>
            <w:left w:val="none" w:sz="0" w:space="0" w:color="auto"/>
            <w:bottom w:val="none" w:sz="0" w:space="0" w:color="auto"/>
            <w:right w:val="none" w:sz="0" w:space="0" w:color="auto"/>
          </w:divBdr>
          <w:divsChild>
            <w:div w:id="1445464032">
              <w:marLeft w:val="0"/>
              <w:marRight w:val="0"/>
              <w:marTop w:val="0"/>
              <w:marBottom w:val="0"/>
              <w:divBdr>
                <w:top w:val="none" w:sz="0" w:space="0" w:color="auto"/>
                <w:left w:val="none" w:sz="0" w:space="0" w:color="auto"/>
                <w:bottom w:val="none" w:sz="0" w:space="0" w:color="auto"/>
                <w:right w:val="none" w:sz="0" w:space="0" w:color="auto"/>
              </w:divBdr>
            </w:div>
          </w:divsChild>
        </w:div>
        <w:div w:id="1328704365">
          <w:marLeft w:val="0"/>
          <w:marRight w:val="0"/>
          <w:marTop w:val="0"/>
          <w:marBottom w:val="0"/>
          <w:divBdr>
            <w:top w:val="none" w:sz="0" w:space="0" w:color="auto"/>
            <w:left w:val="none" w:sz="0" w:space="0" w:color="auto"/>
            <w:bottom w:val="none" w:sz="0" w:space="0" w:color="auto"/>
            <w:right w:val="none" w:sz="0" w:space="0" w:color="auto"/>
          </w:divBdr>
          <w:divsChild>
            <w:div w:id="743068223">
              <w:marLeft w:val="0"/>
              <w:marRight w:val="0"/>
              <w:marTop w:val="0"/>
              <w:marBottom w:val="0"/>
              <w:divBdr>
                <w:top w:val="none" w:sz="0" w:space="0" w:color="auto"/>
                <w:left w:val="none" w:sz="0" w:space="0" w:color="auto"/>
                <w:bottom w:val="none" w:sz="0" w:space="0" w:color="auto"/>
                <w:right w:val="none" w:sz="0" w:space="0" w:color="auto"/>
              </w:divBdr>
            </w:div>
          </w:divsChild>
        </w:div>
        <w:div w:id="1271935709">
          <w:marLeft w:val="0"/>
          <w:marRight w:val="0"/>
          <w:marTop w:val="0"/>
          <w:marBottom w:val="0"/>
          <w:divBdr>
            <w:top w:val="none" w:sz="0" w:space="0" w:color="auto"/>
            <w:left w:val="none" w:sz="0" w:space="0" w:color="auto"/>
            <w:bottom w:val="none" w:sz="0" w:space="0" w:color="auto"/>
            <w:right w:val="none" w:sz="0" w:space="0" w:color="auto"/>
          </w:divBdr>
          <w:divsChild>
            <w:div w:id="1755513241">
              <w:marLeft w:val="0"/>
              <w:marRight w:val="0"/>
              <w:marTop w:val="0"/>
              <w:marBottom w:val="0"/>
              <w:divBdr>
                <w:top w:val="none" w:sz="0" w:space="0" w:color="auto"/>
                <w:left w:val="none" w:sz="0" w:space="0" w:color="auto"/>
                <w:bottom w:val="none" w:sz="0" w:space="0" w:color="auto"/>
                <w:right w:val="none" w:sz="0" w:space="0" w:color="auto"/>
              </w:divBdr>
            </w:div>
          </w:divsChild>
        </w:div>
        <w:div w:id="1579241715">
          <w:marLeft w:val="0"/>
          <w:marRight w:val="0"/>
          <w:marTop w:val="0"/>
          <w:marBottom w:val="0"/>
          <w:divBdr>
            <w:top w:val="none" w:sz="0" w:space="0" w:color="auto"/>
            <w:left w:val="none" w:sz="0" w:space="0" w:color="auto"/>
            <w:bottom w:val="none" w:sz="0" w:space="0" w:color="auto"/>
            <w:right w:val="none" w:sz="0" w:space="0" w:color="auto"/>
          </w:divBdr>
          <w:divsChild>
            <w:div w:id="1686518367">
              <w:marLeft w:val="0"/>
              <w:marRight w:val="0"/>
              <w:marTop w:val="0"/>
              <w:marBottom w:val="0"/>
              <w:divBdr>
                <w:top w:val="none" w:sz="0" w:space="0" w:color="auto"/>
                <w:left w:val="none" w:sz="0" w:space="0" w:color="auto"/>
                <w:bottom w:val="none" w:sz="0" w:space="0" w:color="auto"/>
                <w:right w:val="none" w:sz="0" w:space="0" w:color="auto"/>
              </w:divBdr>
            </w:div>
          </w:divsChild>
        </w:div>
        <w:div w:id="608002719">
          <w:marLeft w:val="0"/>
          <w:marRight w:val="0"/>
          <w:marTop w:val="0"/>
          <w:marBottom w:val="0"/>
          <w:divBdr>
            <w:top w:val="none" w:sz="0" w:space="0" w:color="auto"/>
            <w:left w:val="none" w:sz="0" w:space="0" w:color="auto"/>
            <w:bottom w:val="none" w:sz="0" w:space="0" w:color="auto"/>
            <w:right w:val="none" w:sz="0" w:space="0" w:color="auto"/>
          </w:divBdr>
          <w:divsChild>
            <w:div w:id="522209873">
              <w:marLeft w:val="0"/>
              <w:marRight w:val="0"/>
              <w:marTop w:val="0"/>
              <w:marBottom w:val="0"/>
              <w:divBdr>
                <w:top w:val="none" w:sz="0" w:space="0" w:color="auto"/>
                <w:left w:val="none" w:sz="0" w:space="0" w:color="auto"/>
                <w:bottom w:val="none" w:sz="0" w:space="0" w:color="auto"/>
                <w:right w:val="none" w:sz="0" w:space="0" w:color="auto"/>
              </w:divBdr>
            </w:div>
          </w:divsChild>
        </w:div>
        <w:div w:id="1509102984">
          <w:marLeft w:val="0"/>
          <w:marRight w:val="0"/>
          <w:marTop w:val="0"/>
          <w:marBottom w:val="0"/>
          <w:divBdr>
            <w:top w:val="none" w:sz="0" w:space="0" w:color="auto"/>
            <w:left w:val="none" w:sz="0" w:space="0" w:color="auto"/>
            <w:bottom w:val="none" w:sz="0" w:space="0" w:color="auto"/>
            <w:right w:val="none" w:sz="0" w:space="0" w:color="auto"/>
          </w:divBdr>
          <w:divsChild>
            <w:div w:id="331950198">
              <w:marLeft w:val="0"/>
              <w:marRight w:val="0"/>
              <w:marTop w:val="0"/>
              <w:marBottom w:val="0"/>
              <w:divBdr>
                <w:top w:val="none" w:sz="0" w:space="0" w:color="auto"/>
                <w:left w:val="none" w:sz="0" w:space="0" w:color="auto"/>
                <w:bottom w:val="none" w:sz="0" w:space="0" w:color="auto"/>
                <w:right w:val="none" w:sz="0" w:space="0" w:color="auto"/>
              </w:divBdr>
            </w:div>
          </w:divsChild>
        </w:div>
        <w:div w:id="1435832359">
          <w:marLeft w:val="0"/>
          <w:marRight w:val="0"/>
          <w:marTop w:val="0"/>
          <w:marBottom w:val="0"/>
          <w:divBdr>
            <w:top w:val="none" w:sz="0" w:space="0" w:color="auto"/>
            <w:left w:val="none" w:sz="0" w:space="0" w:color="auto"/>
            <w:bottom w:val="none" w:sz="0" w:space="0" w:color="auto"/>
            <w:right w:val="none" w:sz="0" w:space="0" w:color="auto"/>
          </w:divBdr>
          <w:divsChild>
            <w:div w:id="45642165">
              <w:marLeft w:val="0"/>
              <w:marRight w:val="0"/>
              <w:marTop w:val="0"/>
              <w:marBottom w:val="0"/>
              <w:divBdr>
                <w:top w:val="none" w:sz="0" w:space="0" w:color="auto"/>
                <w:left w:val="none" w:sz="0" w:space="0" w:color="auto"/>
                <w:bottom w:val="none" w:sz="0" w:space="0" w:color="auto"/>
                <w:right w:val="none" w:sz="0" w:space="0" w:color="auto"/>
              </w:divBdr>
            </w:div>
          </w:divsChild>
        </w:div>
        <w:div w:id="361126305">
          <w:marLeft w:val="0"/>
          <w:marRight w:val="0"/>
          <w:marTop w:val="0"/>
          <w:marBottom w:val="0"/>
          <w:divBdr>
            <w:top w:val="none" w:sz="0" w:space="0" w:color="auto"/>
            <w:left w:val="none" w:sz="0" w:space="0" w:color="auto"/>
            <w:bottom w:val="none" w:sz="0" w:space="0" w:color="auto"/>
            <w:right w:val="none" w:sz="0" w:space="0" w:color="auto"/>
          </w:divBdr>
          <w:divsChild>
            <w:div w:id="959803103">
              <w:marLeft w:val="0"/>
              <w:marRight w:val="0"/>
              <w:marTop w:val="0"/>
              <w:marBottom w:val="0"/>
              <w:divBdr>
                <w:top w:val="none" w:sz="0" w:space="0" w:color="auto"/>
                <w:left w:val="none" w:sz="0" w:space="0" w:color="auto"/>
                <w:bottom w:val="none" w:sz="0" w:space="0" w:color="auto"/>
                <w:right w:val="none" w:sz="0" w:space="0" w:color="auto"/>
              </w:divBdr>
            </w:div>
          </w:divsChild>
        </w:div>
        <w:div w:id="1909269514">
          <w:marLeft w:val="0"/>
          <w:marRight w:val="0"/>
          <w:marTop w:val="0"/>
          <w:marBottom w:val="0"/>
          <w:divBdr>
            <w:top w:val="none" w:sz="0" w:space="0" w:color="auto"/>
            <w:left w:val="none" w:sz="0" w:space="0" w:color="auto"/>
            <w:bottom w:val="none" w:sz="0" w:space="0" w:color="auto"/>
            <w:right w:val="none" w:sz="0" w:space="0" w:color="auto"/>
          </w:divBdr>
          <w:divsChild>
            <w:div w:id="470942773">
              <w:marLeft w:val="0"/>
              <w:marRight w:val="0"/>
              <w:marTop w:val="0"/>
              <w:marBottom w:val="0"/>
              <w:divBdr>
                <w:top w:val="none" w:sz="0" w:space="0" w:color="auto"/>
                <w:left w:val="none" w:sz="0" w:space="0" w:color="auto"/>
                <w:bottom w:val="none" w:sz="0" w:space="0" w:color="auto"/>
                <w:right w:val="none" w:sz="0" w:space="0" w:color="auto"/>
              </w:divBdr>
            </w:div>
          </w:divsChild>
        </w:div>
        <w:div w:id="1571227857">
          <w:marLeft w:val="0"/>
          <w:marRight w:val="0"/>
          <w:marTop w:val="0"/>
          <w:marBottom w:val="0"/>
          <w:divBdr>
            <w:top w:val="none" w:sz="0" w:space="0" w:color="auto"/>
            <w:left w:val="none" w:sz="0" w:space="0" w:color="auto"/>
            <w:bottom w:val="none" w:sz="0" w:space="0" w:color="auto"/>
            <w:right w:val="none" w:sz="0" w:space="0" w:color="auto"/>
          </w:divBdr>
          <w:divsChild>
            <w:div w:id="507062414">
              <w:marLeft w:val="0"/>
              <w:marRight w:val="0"/>
              <w:marTop w:val="0"/>
              <w:marBottom w:val="0"/>
              <w:divBdr>
                <w:top w:val="none" w:sz="0" w:space="0" w:color="auto"/>
                <w:left w:val="none" w:sz="0" w:space="0" w:color="auto"/>
                <w:bottom w:val="none" w:sz="0" w:space="0" w:color="auto"/>
                <w:right w:val="none" w:sz="0" w:space="0" w:color="auto"/>
              </w:divBdr>
            </w:div>
          </w:divsChild>
        </w:div>
        <w:div w:id="1184247350">
          <w:marLeft w:val="0"/>
          <w:marRight w:val="0"/>
          <w:marTop w:val="0"/>
          <w:marBottom w:val="0"/>
          <w:divBdr>
            <w:top w:val="none" w:sz="0" w:space="0" w:color="auto"/>
            <w:left w:val="none" w:sz="0" w:space="0" w:color="auto"/>
            <w:bottom w:val="none" w:sz="0" w:space="0" w:color="auto"/>
            <w:right w:val="none" w:sz="0" w:space="0" w:color="auto"/>
          </w:divBdr>
          <w:divsChild>
            <w:div w:id="921909307">
              <w:marLeft w:val="0"/>
              <w:marRight w:val="0"/>
              <w:marTop w:val="0"/>
              <w:marBottom w:val="0"/>
              <w:divBdr>
                <w:top w:val="none" w:sz="0" w:space="0" w:color="auto"/>
                <w:left w:val="none" w:sz="0" w:space="0" w:color="auto"/>
                <w:bottom w:val="none" w:sz="0" w:space="0" w:color="auto"/>
                <w:right w:val="none" w:sz="0" w:space="0" w:color="auto"/>
              </w:divBdr>
            </w:div>
          </w:divsChild>
        </w:div>
        <w:div w:id="1408502345">
          <w:marLeft w:val="0"/>
          <w:marRight w:val="0"/>
          <w:marTop w:val="0"/>
          <w:marBottom w:val="0"/>
          <w:divBdr>
            <w:top w:val="none" w:sz="0" w:space="0" w:color="auto"/>
            <w:left w:val="none" w:sz="0" w:space="0" w:color="auto"/>
            <w:bottom w:val="none" w:sz="0" w:space="0" w:color="auto"/>
            <w:right w:val="none" w:sz="0" w:space="0" w:color="auto"/>
          </w:divBdr>
          <w:divsChild>
            <w:div w:id="1425570830">
              <w:marLeft w:val="0"/>
              <w:marRight w:val="0"/>
              <w:marTop w:val="0"/>
              <w:marBottom w:val="0"/>
              <w:divBdr>
                <w:top w:val="none" w:sz="0" w:space="0" w:color="auto"/>
                <w:left w:val="none" w:sz="0" w:space="0" w:color="auto"/>
                <w:bottom w:val="none" w:sz="0" w:space="0" w:color="auto"/>
                <w:right w:val="none" w:sz="0" w:space="0" w:color="auto"/>
              </w:divBdr>
            </w:div>
          </w:divsChild>
        </w:div>
        <w:div w:id="1545797715">
          <w:marLeft w:val="0"/>
          <w:marRight w:val="0"/>
          <w:marTop w:val="0"/>
          <w:marBottom w:val="0"/>
          <w:divBdr>
            <w:top w:val="none" w:sz="0" w:space="0" w:color="auto"/>
            <w:left w:val="none" w:sz="0" w:space="0" w:color="auto"/>
            <w:bottom w:val="none" w:sz="0" w:space="0" w:color="auto"/>
            <w:right w:val="none" w:sz="0" w:space="0" w:color="auto"/>
          </w:divBdr>
          <w:divsChild>
            <w:div w:id="692266217">
              <w:marLeft w:val="0"/>
              <w:marRight w:val="0"/>
              <w:marTop w:val="0"/>
              <w:marBottom w:val="0"/>
              <w:divBdr>
                <w:top w:val="none" w:sz="0" w:space="0" w:color="auto"/>
                <w:left w:val="none" w:sz="0" w:space="0" w:color="auto"/>
                <w:bottom w:val="none" w:sz="0" w:space="0" w:color="auto"/>
                <w:right w:val="none" w:sz="0" w:space="0" w:color="auto"/>
              </w:divBdr>
            </w:div>
            <w:div w:id="4745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3185126">
      <w:bodyDiv w:val="1"/>
      <w:marLeft w:val="0"/>
      <w:marRight w:val="0"/>
      <w:marTop w:val="0"/>
      <w:marBottom w:val="0"/>
      <w:divBdr>
        <w:top w:val="none" w:sz="0" w:space="0" w:color="auto"/>
        <w:left w:val="none" w:sz="0" w:space="0" w:color="auto"/>
        <w:bottom w:val="none" w:sz="0" w:space="0" w:color="auto"/>
        <w:right w:val="none" w:sz="0" w:space="0" w:color="auto"/>
      </w:divBdr>
      <w:divsChild>
        <w:div w:id="1709917888">
          <w:marLeft w:val="0"/>
          <w:marRight w:val="0"/>
          <w:marTop w:val="0"/>
          <w:marBottom w:val="0"/>
          <w:divBdr>
            <w:top w:val="none" w:sz="0" w:space="0" w:color="auto"/>
            <w:left w:val="none" w:sz="0" w:space="0" w:color="auto"/>
            <w:bottom w:val="none" w:sz="0" w:space="0" w:color="auto"/>
            <w:right w:val="none" w:sz="0" w:space="0" w:color="auto"/>
          </w:divBdr>
          <w:divsChild>
            <w:div w:id="1470201631">
              <w:marLeft w:val="0"/>
              <w:marRight w:val="0"/>
              <w:marTop w:val="0"/>
              <w:marBottom w:val="0"/>
              <w:divBdr>
                <w:top w:val="none" w:sz="0" w:space="0" w:color="auto"/>
                <w:left w:val="none" w:sz="0" w:space="0" w:color="auto"/>
                <w:bottom w:val="none" w:sz="0" w:space="0" w:color="auto"/>
                <w:right w:val="none" w:sz="0" w:space="0" w:color="auto"/>
              </w:divBdr>
            </w:div>
          </w:divsChild>
        </w:div>
        <w:div w:id="309674364">
          <w:marLeft w:val="0"/>
          <w:marRight w:val="0"/>
          <w:marTop w:val="0"/>
          <w:marBottom w:val="0"/>
          <w:divBdr>
            <w:top w:val="none" w:sz="0" w:space="0" w:color="auto"/>
            <w:left w:val="none" w:sz="0" w:space="0" w:color="auto"/>
            <w:bottom w:val="none" w:sz="0" w:space="0" w:color="auto"/>
            <w:right w:val="none" w:sz="0" w:space="0" w:color="auto"/>
          </w:divBdr>
          <w:divsChild>
            <w:div w:id="1383215575">
              <w:marLeft w:val="0"/>
              <w:marRight w:val="0"/>
              <w:marTop w:val="0"/>
              <w:marBottom w:val="0"/>
              <w:divBdr>
                <w:top w:val="none" w:sz="0" w:space="0" w:color="auto"/>
                <w:left w:val="none" w:sz="0" w:space="0" w:color="auto"/>
                <w:bottom w:val="none" w:sz="0" w:space="0" w:color="auto"/>
                <w:right w:val="none" w:sz="0" w:space="0" w:color="auto"/>
              </w:divBdr>
            </w:div>
          </w:divsChild>
        </w:div>
        <w:div w:id="203368512">
          <w:marLeft w:val="0"/>
          <w:marRight w:val="0"/>
          <w:marTop w:val="0"/>
          <w:marBottom w:val="0"/>
          <w:divBdr>
            <w:top w:val="none" w:sz="0" w:space="0" w:color="auto"/>
            <w:left w:val="none" w:sz="0" w:space="0" w:color="auto"/>
            <w:bottom w:val="none" w:sz="0" w:space="0" w:color="auto"/>
            <w:right w:val="none" w:sz="0" w:space="0" w:color="auto"/>
          </w:divBdr>
          <w:divsChild>
            <w:div w:id="1555198554">
              <w:marLeft w:val="0"/>
              <w:marRight w:val="0"/>
              <w:marTop w:val="0"/>
              <w:marBottom w:val="0"/>
              <w:divBdr>
                <w:top w:val="none" w:sz="0" w:space="0" w:color="auto"/>
                <w:left w:val="none" w:sz="0" w:space="0" w:color="auto"/>
                <w:bottom w:val="none" w:sz="0" w:space="0" w:color="auto"/>
                <w:right w:val="none" w:sz="0" w:space="0" w:color="auto"/>
              </w:divBdr>
            </w:div>
          </w:divsChild>
        </w:div>
        <w:div w:id="1132868894">
          <w:marLeft w:val="0"/>
          <w:marRight w:val="0"/>
          <w:marTop w:val="0"/>
          <w:marBottom w:val="0"/>
          <w:divBdr>
            <w:top w:val="none" w:sz="0" w:space="0" w:color="auto"/>
            <w:left w:val="none" w:sz="0" w:space="0" w:color="auto"/>
            <w:bottom w:val="none" w:sz="0" w:space="0" w:color="auto"/>
            <w:right w:val="none" w:sz="0" w:space="0" w:color="auto"/>
          </w:divBdr>
          <w:divsChild>
            <w:div w:id="950939216">
              <w:marLeft w:val="0"/>
              <w:marRight w:val="0"/>
              <w:marTop w:val="0"/>
              <w:marBottom w:val="0"/>
              <w:divBdr>
                <w:top w:val="none" w:sz="0" w:space="0" w:color="auto"/>
                <w:left w:val="none" w:sz="0" w:space="0" w:color="auto"/>
                <w:bottom w:val="none" w:sz="0" w:space="0" w:color="auto"/>
                <w:right w:val="none" w:sz="0" w:space="0" w:color="auto"/>
              </w:divBdr>
            </w:div>
          </w:divsChild>
        </w:div>
        <w:div w:id="813957601">
          <w:marLeft w:val="0"/>
          <w:marRight w:val="0"/>
          <w:marTop w:val="0"/>
          <w:marBottom w:val="0"/>
          <w:divBdr>
            <w:top w:val="none" w:sz="0" w:space="0" w:color="auto"/>
            <w:left w:val="none" w:sz="0" w:space="0" w:color="auto"/>
            <w:bottom w:val="none" w:sz="0" w:space="0" w:color="auto"/>
            <w:right w:val="none" w:sz="0" w:space="0" w:color="auto"/>
          </w:divBdr>
          <w:divsChild>
            <w:div w:id="1573613086">
              <w:marLeft w:val="0"/>
              <w:marRight w:val="0"/>
              <w:marTop w:val="0"/>
              <w:marBottom w:val="0"/>
              <w:divBdr>
                <w:top w:val="none" w:sz="0" w:space="0" w:color="auto"/>
                <w:left w:val="none" w:sz="0" w:space="0" w:color="auto"/>
                <w:bottom w:val="none" w:sz="0" w:space="0" w:color="auto"/>
                <w:right w:val="none" w:sz="0" w:space="0" w:color="auto"/>
              </w:divBdr>
            </w:div>
          </w:divsChild>
        </w:div>
        <w:div w:id="1952777955">
          <w:marLeft w:val="0"/>
          <w:marRight w:val="0"/>
          <w:marTop w:val="0"/>
          <w:marBottom w:val="0"/>
          <w:divBdr>
            <w:top w:val="none" w:sz="0" w:space="0" w:color="auto"/>
            <w:left w:val="none" w:sz="0" w:space="0" w:color="auto"/>
            <w:bottom w:val="none" w:sz="0" w:space="0" w:color="auto"/>
            <w:right w:val="none" w:sz="0" w:space="0" w:color="auto"/>
          </w:divBdr>
          <w:divsChild>
            <w:div w:id="644704376">
              <w:marLeft w:val="0"/>
              <w:marRight w:val="0"/>
              <w:marTop w:val="0"/>
              <w:marBottom w:val="0"/>
              <w:divBdr>
                <w:top w:val="none" w:sz="0" w:space="0" w:color="auto"/>
                <w:left w:val="none" w:sz="0" w:space="0" w:color="auto"/>
                <w:bottom w:val="none" w:sz="0" w:space="0" w:color="auto"/>
                <w:right w:val="none" w:sz="0" w:space="0" w:color="auto"/>
              </w:divBdr>
            </w:div>
          </w:divsChild>
        </w:div>
        <w:div w:id="802233300">
          <w:marLeft w:val="0"/>
          <w:marRight w:val="0"/>
          <w:marTop w:val="0"/>
          <w:marBottom w:val="0"/>
          <w:divBdr>
            <w:top w:val="none" w:sz="0" w:space="0" w:color="auto"/>
            <w:left w:val="none" w:sz="0" w:space="0" w:color="auto"/>
            <w:bottom w:val="none" w:sz="0" w:space="0" w:color="auto"/>
            <w:right w:val="none" w:sz="0" w:space="0" w:color="auto"/>
          </w:divBdr>
          <w:divsChild>
            <w:div w:id="1042906412">
              <w:marLeft w:val="0"/>
              <w:marRight w:val="0"/>
              <w:marTop w:val="0"/>
              <w:marBottom w:val="0"/>
              <w:divBdr>
                <w:top w:val="none" w:sz="0" w:space="0" w:color="auto"/>
                <w:left w:val="none" w:sz="0" w:space="0" w:color="auto"/>
                <w:bottom w:val="none" w:sz="0" w:space="0" w:color="auto"/>
                <w:right w:val="none" w:sz="0" w:space="0" w:color="auto"/>
              </w:divBdr>
            </w:div>
          </w:divsChild>
        </w:div>
        <w:div w:id="224680162">
          <w:marLeft w:val="0"/>
          <w:marRight w:val="0"/>
          <w:marTop w:val="0"/>
          <w:marBottom w:val="0"/>
          <w:divBdr>
            <w:top w:val="none" w:sz="0" w:space="0" w:color="auto"/>
            <w:left w:val="none" w:sz="0" w:space="0" w:color="auto"/>
            <w:bottom w:val="none" w:sz="0" w:space="0" w:color="auto"/>
            <w:right w:val="none" w:sz="0" w:space="0" w:color="auto"/>
          </w:divBdr>
          <w:divsChild>
            <w:div w:id="898901392">
              <w:marLeft w:val="0"/>
              <w:marRight w:val="0"/>
              <w:marTop w:val="0"/>
              <w:marBottom w:val="0"/>
              <w:divBdr>
                <w:top w:val="none" w:sz="0" w:space="0" w:color="auto"/>
                <w:left w:val="none" w:sz="0" w:space="0" w:color="auto"/>
                <w:bottom w:val="none" w:sz="0" w:space="0" w:color="auto"/>
                <w:right w:val="none" w:sz="0" w:space="0" w:color="auto"/>
              </w:divBdr>
            </w:div>
          </w:divsChild>
        </w:div>
        <w:div w:id="1491823794">
          <w:marLeft w:val="0"/>
          <w:marRight w:val="0"/>
          <w:marTop w:val="0"/>
          <w:marBottom w:val="0"/>
          <w:divBdr>
            <w:top w:val="none" w:sz="0" w:space="0" w:color="auto"/>
            <w:left w:val="none" w:sz="0" w:space="0" w:color="auto"/>
            <w:bottom w:val="none" w:sz="0" w:space="0" w:color="auto"/>
            <w:right w:val="none" w:sz="0" w:space="0" w:color="auto"/>
          </w:divBdr>
          <w:divsChild>
            <w:div w:id="81995277">
              <w:marLeft w:val="0"/>
              <w:marRight w:val="0"/>
              <w:marTop w:val="0"/>
              <w:marBottom w:val="0"/>
              <w:divBdr>
                <w:top w:val="none" w:sz="0" w:space="0" w:color="auto"/>
                <w:left w:val="none" w:sz="0" w:space="0" w:color="auto"/>
                <w:bottom w:val="none" w:sz="0" w:space="0" w:color="auto"/>
                <w:right w:val="none" w:sz="0" w:space="0" w:color="auto"/>
              </w:divBdr>
            </w:div>
          </w:divsChild>
        </w:div>
        <w:div w:id="652300324">
          <w:marLeft w:val="0"/>
          <w:marRight w:val="0"/>
          <w:marTop w:val="0"/>
          <w:marBottom w:val="0"/>
          <w:divBdr>
            <w:top w:val="none" w:sz="0" w:space="0" w:color="auto"/>
            <w:left w:val="none" w:sz="0" w:space="0" w:color="auto"/>
            <w:bottom w:val="none" w:sz="0" w:space="0" w:color="auto"/>
            <w:right w:val="none" w:sz="0" w:space="0" w:color="auto"/>
          </w:divBdr>
          <w:divsChild>
            <w:div w:id="318732821">
              <w:marLeft w:val="0"/>
              <w:marRight w:val="0"/>
              <w:marTop w:val="0"/>
              <w:marBottom w:val="0"/>
              <w:divBdr>
                <w:top w:val="none" w:sz="0" w:space="0" w:color="auto"/>
                <w:left w:val="none" w:sz="0" w:space="0" w:color="auto"/>
                <w:bottom w:val="none" w:sz="0" w:space="0" w:color="auto"/>
                <w:right w:val="none" w:sz="0" w:space="0" w:color="auto"/>
              </w:divBdr>
            </w:div>
          </w:divsChild>
        </w:div>
        <w:div w:id="807161993">
          <w:marLeft w:val="0"/>
          <w:marRight w:val="0"/>
          <w:marTop w:val="0"/>
          <w:marBottom w:val="0"/>
          <w:divBdr>
            <w:top w:val="none" w:sz="0" w:space="0" w:color="auto"/>
            <w:left w:val="none" w:sz="0" w:space="0" w:color="auto"/>
            <w:bottom w:val="none" w:sz="0" w:space="0" w:color="auto"/>
            <w:right w:val="none" w:sz="0" w:space="0" w:color="auto"/>
          </w:divBdr>
          <w:divsChild>
            <w:div w:id="583497631">
              <w:marLeft w:val="0"/>
              <w:marRight w:val="0"/>
              <w:marTop w:val="0"/>
              <w:marBottom w:val="0"/>
              <w:divBdr>
                <w:top w:val="none" w:sz="0" w:space="0" w:color="auto"/>
                <w:left w:val="none" w:sz="0" w:space="0" w:color="auto"/>
                <w:bottom w:val="none" w:sz="0" w:space="0" w:color="auto"/>
                <w:right w:val="none" w:sz="0" w:space="0" w:color="auto"/>
              </w:divBdr>
            </w:div>
          </w:divsChild>
        </w:div>
        <w:div w:id="1020356980">
          <w:marLeft w:val="0"/>
          <w:marRight w:val="0"/>
          <w:marTop w:val="0"/>
          <w:marBottom w:val="0"/>
          <w:divBdr>
            <w:top w:val="none" w:sz="0" w:space="0" w:color="auto"/>
            <w:left w:val="none" w:sz="0" w:space="0" w:color="auto"/>
            <w:bottom w:val="none" w:sz="0" w:space="0" w:color="auto"/>
            <w:right w:val="none" w:sz="0" w:space="0" w:color="auto"/>
          </w:divBdr>
          <w:divsChild>
            <w:div w:id="733240858">
              <w:marLeft w:val="0"/>
              <w:marRight w:val="0"/>
              <w:marTop w:val="0"/>
              <w:marBottom w:val="0"/>
              <w:divBdr>
                <w:top w:val="none" w:sz="0" w:space="0" w:color="auto"/>
                <w:left w:val="none" w:sz="0" w:space="0" w:color="auto"/>
                <w:bottom w:val="none" w:sz="0" w:space="0" w:color="auto"/>
                <w:right w:val="none" w:sz="0" w:space="0" w:color="auto"/>
              </w:divBdr>
            </w:div>
          </w:divsChild>
        </w:div>
        <w:div w:id="1047799949">
          <w:marLeft w:val="0"/>
          <w:marRight w:val="0"/>
          <w:marTop w:val="0"/>
          <w:marBottom w:val="0"/>
          <w:divBdr>
            <w:top w:val="none" w:sz="0" w:space="0" w:color="auto"/>
            <w:left w:val="none" w:sz="0" w:space="0" w:color="auto"/>
            <w:bottom w:val="none" w:sz="0" w:space="0" w:color="auto"/>
            <w:right w:val="none" w:sz="0" w:space="0" w:color="auto"/>
          </w:divBdr>
          <w:divsChild>
            <w:div w:id="554051335">
              <w:marLeft w:val="0"/>
              <w:marRight w:val="0"/>
              <w:marTop w:val="0"/>
              <w:marBottom w:val="0"/>
              <w:divBdr>
                <w:top w:val="none" w:sz="0" w:space="0" w:color="auto"/>
                <w:left w:val="none" w:sz="0" w:space="0" w:color="auto"/>
                <w:bottom w:val="none" w:sz="0" w:space="0" w:color="auto"/>
                <w:right w:val="none" w:sz="0" w:space="0" w:color="auto"/>
              </w:divBdr>
            </w:div>
          </w:divsChild>
        </w:div>
        <w:div w:id="270936984">
          <w:marLeft w:val="0"/>
          <w:marRight w:val="0"/>
          <w:marTop w:val="0"/>
          <w:marBottom w:val="0"/>
          <w:divBdr>
            <w:top w:val="none" w:sz="0" w:space="0" w:color="auto"/>
            <w:left w:val="none" w:sz="0" w:space="0" w:color="auto"/>
            <w:bottom w:val="none" w:sz="0" w:space="0" w:color="auto"/>
            <w:right w:val="none" w:sz="0" w:space="0" w:color="auto"/>
          </w:divBdr>
          <w:divsChild>
            <w:div w:id="848712273">
              <w:marLeft w:val="0"/>
              <w:marRight w:val="0"/>
              <w:marTop w:val="0"/>
              <w:marBottom w:val="0"/>
              <w:divBdr>
                <w:top w:val="none" w:sz="0" w:space="0" w:color="auto"/>
                <w:left w:val="none" w:sz="0" w:space="0" w:color="auto"/>
                <w:bottom w:val="none" w:sz="0" w:space="0" w:color="auto"/>
                <w:right w:val="none" w:sz="0" w:space="0" w:color="auto"/>
              </w:divBdr>
            </w:div>
          </w:divsChild>
        </w:div>
        <w:div w:id="1744451614">
          <w:marLeft w:val="0"/>
          <w:marRight w:val="0"/>
          <w:marTop w:val="0"/>
          <w:marBottom w:val="0"/>
          <w:divBdr>
            <w:top w:val="none" w:sz="0" w:space="0" w:color="auto"/>
            <w:left w:val="none" w:sz="0" w:space="0" w:color="auto"/>
            <w:bottom w:val="none" w:sz="0" w:space="0" w:color="auto"/>
            <w:right w:val="none" w:sz="0" w:space="0" w:color="auto"/>
          </w:divBdr>
          <w:divsChild>
            <w:div w:id="1977480">
              <w:marLeft w:val="0"/>
              <w:marRight w:val="0"/>
              <w:marTop w:val="0"/>
              <w:marBottom w:val="0"/>
              <w:divBdr>
                <w:top w:val="none" w:sz="0" w:space="0" w:color="auto"/>
                <w:left w:val="none" w:sz="0" w:space="0" w:color="auto"/>
                <w:bottom w:val="none" w:sz="0" w:space="0" w:color="auto"/>
                <w:right w:val="none" w:sz="0" w:space="0" w:color="auto"/>
              </w:divBdr>
            </w:div>
          </w:divsChild>
        </w:div>
        <w:div w:id="2109350032">
          <w:marLeft w:val="0"/>
          <w:marRight w:val="0"/>
          <w:marTop w:val="0"/>
          <w:marBottom w:val="0"/>
          <w:divBdr>
            <w:top w:val="none" w:sz="0" w:space="0" w:color="auto"/>
            <w:left w:val="none" w:sz="0" w:space="0" w:color="auto"/>
            <w:bottom w:val="none" w:sz="0" w:space="0" w:color="auto"/>
            <w:right w:val="none" w:sz="0" w:space="0" w:color="auto"/>
          </w:divBdr>
          <w:divsChild>
            <w:div w:id="2138716547">
              <w:marLeft w:val="0"/>
              <w:marRight w:val="0"/>
              <w:marTop w:val="0"/>
              <w:marBottom w:val="0"/>
              <w:divBdr>
                <w:top w:val="none" w:sz="0" w:space="0" w:color="auto"/>
                <w:left w:val="none" w:sz="0" w:space="0" w:color="auto"/>
                <w:bottom w:val="none" w:sz="0" w:space="0" w:color="auto"/>
                <w:right w:val="none" w:sz="0" w:space="0" w:color="auto"/>
              </w:divBdr>
            </w:div>
          </w:divsChild>
        </w:div>
        <w:div w:id="1978147848">
          <w:marLeft w:val="0"/>
          <w:marRight w:val="0"/>
          <w:marTop w:val="0"/>
          <w:marBottom w:val="0"/>
          <w:divBdr>
            <w:top w:val="none" w:sz="0" w:space="0" w:color="auto"/>
            <w:left w:val="none" w:sz="0" w:space="0" w:color="auto"/>
            <w:bottom w:val="none" w:sz="0" w:space="0" w:color="auto"/>
            <w:right w:val="none" w:sz="0" w:space="0" w:color="auto"/>
          </w:divBdr>
          <w:divsChild>
            <w:div w:id="939947863">
              <w:marLeft w:val="0"/>
              <w:marRight w:val="0"/>
              <w:marTop w:val="0"/>
              <w:marBottom w:val="0"/>
              <w:divBdr>
                <w:top w:val="none" w:sz="0" w:space="0" w:color="auto"/>
                <w:left w:val="none" w:sz="0" w:space="0" w:color="auto"/>
                <w:bottom w:val="none" w:sz="0" w:space="0" w:color="auto"/>
                <w:right w:val="none" w:sz="0" w:space="0" w:color="auto"/>
              </w:divBdr>
            </w:div>
          </w:divsChild>
        </w:div>
        <w:div w:id="1546016515">
          <w:marLeft w:val="0"/>
          <w:marRight w:val="0"/>
          <w:marTop w:val="0"/>
          <w:marBottom w:val="0"/>
          <w:divBdr>
            <w:top w:val="none" w:sz="0" w:space="0" w:color="auto"/>
            <w:left w:val="none" w:sz="0" w:space="0" w:color="auto"/>
            <w:bottom w:val="none" w:sz="0" w:space="0" w:color="auto"/>
            <w:right w:val="none" w:sz="0" w:space="0" w:color="auto"/>
          </w:divBdr>
          <w:divsChild>
            <w:div w:id="1352563630">
              <w:marLeft w:val="0"/>
              <w:marRight w:val="0"/>
              <w:marTop w:val="0"/>
              <w:marBottom w:val="0"/>
              <w:divBdr>
                <w:top w:val="none" w:sz="0" w:space="0" w:color="auto"/>
                <w:left w:val="none" w:sz="0" w:space="0" w:color="auto"/>
                <w:bottom w:val="none" w:sz="0" w:space="0" w:color="auto"/>
                <w:right w:val="none" w:sz="0" w:space="0" w:color="auto"/>
              </w:divBdr>
            </w:div>
          </w:divsChild>
        </w:div>
        <w:div w:id="482890039">
          <w:marLeft w:val="0"/>
          <w:marRight w:val="0"/>
          <w:marTop w:val="0"/>
          <w:marBottom w:val="0"/>
          <w:divBdr>
            <w:top w:val="none" w:sz="0" w:space="0" w:color="auto"/>
            <w:left w:val="none" w:sz="0" w:space="0" w:color="auto"/>
            <w:bottom w:val="none" w:sz="0" w:space="0" w:color="auto"/>
            <w:right w:val="none" w:sz="0" w:space="0" w:color="auto"/>
          </w:divBdr>
          <w:divsChild>
            <w:div w:id="796415369">
              <w:marLeft w:val="0"/>
              <w:marRight w:val="0"/>
              <w:marTop w:val="0"/>
              <w:marBottom w:val="0"/>
              <w:divBdr>
                <w:top w:val="none" w:sz="0" w:space="0" w:color="auto"/>
                <w:left w:val="none" w:sz="0" w:space="0" w:color="auto"/>
                <w:bottom w:val="none" w:sz="0" w:space="0" w:color="auto"/>
                <w:right w:val="none" w:sz="0" w:space="0" w:color="auto"/>
              </w:divBdr>
            </w:div>
          </w:divsChild>
        </w:div>
        <w:div w:id="254941854">
          <w:marLeft w:val="0"/>
          <w:marRight w:val="0"/>
          <w:marTop w:val="0"/>
          <w:marBottom w:val="0"/>
          <w:divBdr>
            <w:top w:val="none" w:sz="0" w:space="0" w:color="auto"/>
            <w:left w:val="none" w:sz="0" w:space="0" w:color="auto"/>
            <w:bottom w:val="none" w:sz="0" w:space="0" w:color="auto"/>
            <w:right w:val="none" w:sz="0" w:space="0" w:color="auto"/>
          </w:divBdr>
          <w:divsChild>
            <w:div w:id="1554586376">
              <w:marLeft w:val="0"/>
              <w:marRight w:val="0"/>
              <w:marTop w:val="0"/>
              <w:marBottom w:val="0"/>
              <w:divBdr>
                <w:top w:val="none" w:sz="0" w:space="0" w:color="auto"/>
                <w:left w:val="none" w:sz="0" w:space="0" w:color="auto"/>
                <w:bottom w:val="none" w:sz="0" w:space="0" w:color="auto"/>
                <w:right w:val="none" w:sz="0" w:space="0" w:color="auto"/>
              </w:divBdr>
            </w:div>
          </w:divsChild>
        </w:div>
        <w:div w:id="1199078581">
          <w:marLeft w:val="0"/>
          <w:marRight w:val="0"/>
          <w:marTop w:val="0"/>
          <w:marBottom w:val="0"/>
          <w:divBdr>
            <w:top w:val="none" w:sz="0" w:space="0" w:color="auto"/>
            <w:left w:val="none" w:sz="0" w:space="0" w:color="auto"/>
            <w:bottom w:val="none" w:sz="0" w:space="0" w:color="auto"/>
            <w:right w:val="none" w:sz="0" w:space="0" w:color="auto"/>
          </w:divBdr>
          <w:divsChild>
            <w:div w:id="994340306">
              <w:marLeft w:val="0"/>
              <w:marRight w:val="0"/>
              <w:marTop w:val="0"/>
              <w:marBottom w:val="0"/>
              <w:divBdr>
                <w:top w:val="none" w:sz="0" w:space="0" w:color="auto"/>
                <w:left w:val="none" w:sz="0" w:space="0" w:color="auto"/>
                <w:bottom w:val="none" w:sz="0" w:space="0" w:color="auto"/>
                <w:right w:val="none" w:sz="0" w:space="0" w:color="auto"/>
              </w:divBdr>
            </w:div>
          </w:divsChild>
        </w:div>
        <w:div w:id="1913588856">
          <w:marLeft w:val="0"/>
          <w:marRight w:val="0"/>
          <w:marTop w:val="0"/>
          <w:marBottom w:val="0"/>
          <w:divBdr>
            <w:top w:val="none" w:sz="0" w:space="0" w:color="auto"/>
            <w:left w:val="none" w:sz="0" w:space="0" w:color="auto"/>
            <w:bottom w:val="none" w:sz="0" w:space="0" w:color="auto"/>
            <w:right w:val="none" w:sz="0" w:space="0" w:color="auto"/>
          </w:divBdr>
          <w:divsChild>
            <w:div w:id="1337658912">
              <w:marLeft w:val="0"/>
              <w:marRight w:val="0"/>
              <w:marTop w:val="0"/>
              <w:marBottom w:val="0"/>
              <w:divBdr>
                <w:top w:val="none" w:sz="0" w:space="0" w:color="auto"/>
                <w:left w:val="none" w:sz="0" w:space="0" w:color="auto"/>
                <w:bottom w:val="none" w:sz="0" w:space="0" w:color="auto"/>
                <w:right w:val="none" w:sz="0" w:space="0" w:color="auto"/>
              </w:divBdr>
            </w:div>
          </w:divsChild>
        </w:div>
        <w:div w:id="1400859906">
          <w:marLeft w:val="0"/>
          <w:marRight w:val="0"/>
          <w:marTop w:val="0"/>
          <w:marBottom w:val="0"/>
          <w:divBdr>
            <w:top w:val="none" w:sz="0" w:space="0" w:color="auto"/>
            <w:left w:val="none" w:sz="0" w:space="0" w:color="auto"/>
            <w:bottom w:val="none" w:sz="0" w:space="0" w:color="auto"/>
            <w:right w:val="none" w:sz="0" w:space="0" w:color="auto"/>
          </w:divBdr>
          <w:divsChild>
            <w:div w:id="1765806767">
              <w:marLeft w:val="0"/>
              <w:marRight w:val="0"/>
              <w:marTop w:val="0"/>
              <w:marBottom w:val="0"/>
              <w:divBdr>
                <w:top w:val="none" w:sz="0" w:space="0" w:color="auto"/>
                <w:left w:val="none" w:sz="0" w:space="0" w:color="auto"/>
                <w:bottom w:val="none" w:sz="0" w:space="0" w:color="auto"/>
                <w:right w:val="none" w:sz="0" w:space="0" w:color="auto"/>
              </w:divBdr>
            </w:div>
          </w:divsChild>
        </w:div>
        <w:div w:id="2080707828">
          <w:marLeft w:val="0"/>
          <w:marRight w:val="0"/>
          <w:marTop w:val="0"/>
          <w:marBottom w:val="0"/>
          <w:divBdr>
            <w:top w:val="none" w:sz="0" w:space="0" w:color="auto"/>
            <w:left w:val="none" w:sz="0" w:space="0" w:color="auto"/>
            <w:bottom w:val="none" w:sz="0" w:space="0" w:color="auto"/>
            <w:right w:val="none" w:sz="0" w:space="0" w:color="auto"/>
          </w:divBdr>
          <w:divsChild>
            <w:div w:id="2100560829">
              <w:marLeft w:val="0"/>
              <w:marRight w:val="0"/>
              <w:marTop w:val="0"/>
              <w:marBottom w:val="0"/>
              <w:divBdr>
                <w:top w:val="none" w:sz="0" w:space="0" w:color="auto"/>
                <w:left w:val="none" w:sz="0" w:space="0" w:color="auto"/>
                <w:bottom w:val="none" w:sz="0" w:space="0" w:color="auto"/>
                <w:right w:val="none" w:sz="0" w:space="0" w:color="auto"/>
              </w:divBdr>
            </w:div>
          </w:divsChild>
        </w:div>
        <w:div w:id="146169515">
          <w:marLeft w:val="0"/>
          <w:marRight w:val="0"/>
          <w:marTop w:val="0"/>
          <w:marBottom w:val="0"/>
          <w:divBdr>
            <w:top w:val="none" w:sz="0" w:space="0" w:color="auto"/>
            <w:left w:val="none" w:sz="0" w:space="0" w:color="auto"/>
            <w:bottom w:val="none" w:sz="0" w:space="0" w:color="auto"/>
            <w:right w:val="none" w:sz="0" w:space="0" w:color="auto"/>
          </w:divBdr>
          <w:divsChild>
            <w:div w:id="1956860307">
              <w:marLeft w:val="0"/>
              <w:marRight w:val="0"/>
              <w:marTop w:val="0"/>
              <w:marBottom w:val="0"/>
              <w:divBdr>
                <w:top w:val="none" w:sz="0" w:space="0" w:color="auto"/>
                <w:left w:val="none" w:sz="0" w:space="0" w:color="auto"/>
                <w:bottom w:val="none" w:sz="0" w:space="0" w:color="auto"/>
                <w:right w:val="none" w:sz="0" w:space="0" w:color="auto"/>
              </w:divBdr>
            </w:div>
          </w:divsChild>
        </w:div>
        <w:div w:id="1997956092">
          <w:marLeft w:val="0"/>
          <w:marRight w:val="0"/>
          <w:marTop w:val="0"/>
          <w:marBottom w:val="0"/>
          <w:divBdr>
            <w:top w:val="none" w:sz="0" w:space="0" w:color="auto"/>
            <w:left w:val="none" w:sz="0" w:space="0" w:color="auto"/>
            <w:bottom w:val="none" w:sz="0" w:space="0" w:color="auto"/>
            <w:right w:val="none" w:sz="0" w:space="0" w:color="auto"/>
          </w:divBdr>
          <w:divsChild>
            <w:div w:id="1767578706">
              <w:marLeft w:val="0"/>
              <w:marRight w:val="0"/>
              <w:marTop w:val="0"/>
              <w:marBottom w:val="0"/>
              <w:divBdr>
                <w:top w:val="none" w:sz="0" w:space="0" w:color="auto"/>
                <w:left w:val="none" w:sz="0" w:space="0" w:color="auto"/>
                <w:bottom w:val="none" w:sz="0" w:space="0" w:color="auto"/>
                <w:right w:val="none" w:sz="0" w:space="0" w:color="auto"/>
              </w:divBdr>
            </w:div>
          </w:divsChild>
        </w:div>
        <w:div w:id="2079011981">
          <w:marLeft w:val="0"/>
          <w:marRight w:val="0"/>
          <w:marTop w:val="0"/>
          <w:marBottom w:val="0"/>
          <w:divBdr>
            <w:top w:val="none" w:sz="0" w:space="0" w:color="auto"/>
            <w:left w:val="none" w:sz="0" w:space="0" w:color="auto"/>
            <w:bottom w:val="none" w:sz="0" w:space="0" w:color="auto"/>
            <w:right w:val="none" w:sz="0" w:space="0" w:color="auto"/>
          </w:divBdr>
          <w:divsChild>
            <w:div w:id="1521778503">
              <w:marLeft w:val="0"/>
              <w:marRight w:val="0"/>
              <w:marTop w:val="0"/>
              <w:marBottom w:val="0"/>
              <w:divBdr>
                <w:top w:val="none" w:sz="0" w:space="0" w:color="auto"/>
                <w:left w:val="none" w:sz="0" w:space="0" w:color="auto"/>
                <w:bottom w:val="none" w:sz="0" w:space="0" w:color="auto"/>
                <w:right w:val="none" w:sz="0" w:space="0" w:color="auto"/>
              </w:divBdr>
            </w:div>
          </w:divsChild>
        </w:div>
        <w:div w:id="1251086622">
          <w:marLeft w:val="0"/>
          <w:marRight w:val="0"/>
          <w:marTop w:val="0"/>
          <w:marBottom w:val="0"/>
          <w:divBdr>
            <w:top w:val="none" w:sz="0" w:space="0" w:color="auto"/>
            <w:left w:val="none" w:sz="0" w:space="0" w:color="auto"/>
            <w:bottom w:val="none" w:sz="0" w:space="0" w:color="auto"/>
            <w:right w:val="none" w:sz="0" w:space="0" w:color="auto"/>
          </w:divBdr>
          <w:divsChild>
            <w:div w:id="248080123">
              <w:marLeft w:val="0"/>
              <w:marRight w:val="0"/>
              <w:marTop w:val="0"/>
              <w:marBottom w:val="0"/>
              <w:divBdr>
                <w:top w:val="none" w:sz="0" w:space="0" w:color="auto"/>
                <w:left w:val="none" w:sz="0" w:space="0" w:color="auto"/>
                <w:bottom w:val="none" w:sz="0" w:space="0" w:color="auto"/>
                <w:right w:val="none" w:sz="0" w:space="0" w:color="auto"/>
              </w:divBdr>
            </w:div>
          </w:divsChild>
        </w:div>
        <w:div w:id="985744692">
          <w:marLeft w:val="0"/>
          <w:marRight w:val="0"/>
          <w:marTop w:val="0"/>
          <w:marBottom w:val="0"/>
          <w:divBdr>
            <w:top w:val="none" w:sz="0" w:space="0" w:color="auto"/>
            <w:left w:val="none" w:sz="0" w:space="0" w:color="auto"/>
            <w:bottom w:val="none" w:sz="0" w:space="0" w:color="auto"/>
            <w:right w:val="none" w:sz="0" w:space="0" w:color="auto"/>
          </w:divBdr>
          <w:divsChild>
            <w:div w:id="844318710">
              <w:marLeft w:val="0"/>
              <w:marRight w:val="0"/>
              <w:marTop w:val="0"/>
              <w:marBottom w:val="0"/>
              <w:divBdr>
                <w:top w:val="none" w:sz="0" w:space="0" w:color="auto"/>
                <w:left w:val="none" w:sz="0" w:space="0" w:color="auto"/>
                <w:bottom w:val="none" w:sz="0" w:space="0" w:color="auto"/>
                <w:right w:val="none" w:sz="0" w:space="0" w:color="auto"/>
              </w:divBdr>
            </w:div>
          </w:divsChild>
        </w:div>
        <w:div w:id="289018102">
          <w:marLeft w:val="0"/>
          <w:marRight w:val="0"/>
          <w:marTop w:val="0"/>
          <w:marBottom w:val="0"/>
          <w:divBdr>
            <w:top w:val="none" w:sz="0" w:space="0" w:color="auto"/>
            <w:left w:val="none" w:sz="0" w:space="0" w:color="auto"/>
            <w:bottom w:val="none" w:sz="0" w:space="0" w:color="auto"/>
            <w:right w:val="none" w:sz="0" w:space="0" w:color="auto"/>
          </w:divBdr>
          <w:divsChild>
            <w:div w:id="98449456">
              <w:marLeft w:val="0"/>
              <w:marRight w:val="0"/>
              <w:marTop w:val="0"/>
              <w:marBottom w:val="0"/>
              <w:divBdr>
                <w:top w:val="none" w:sz="0" w:space="0" w:color="auto"/>
                <w:left w:val="none" w:sz="0" w:space="0" w:color="auto"/>
                <w:bottom w:val="none" w:sz="0" w:space="0" w:color="auto"/>
                <w:right w:val="none" w:sz="0" w:space="0" w:color="auto"/>
              </w:divBdr>
            </w:div>
          </w:divsChild>
        </w:div>
        <w:div w:id="1179346255">
          <w:marLeft w:val="0"/>
          <w:marRight w:val="0"/>
          <w:marTop w:val="0"/>
          <w:marBottom w:val="0"/>
          <w:divBdr>
            <w:top w:val="none" w:sz="0" w:space="0" w:color="auto"/>
            <w:left w:val="none" w:sz="0" w:space="0" w:color="auto"/>
            <w:bottom w:val="none" w:sz="0" w:space="0" w:color="auto"/>
            <w:right w:val="none" w:sz="0" w:space="0" w:color="auto"/>
          </w:divBdr>
          <w:divsChild>
            <w:div w:id="843781340">
              <w:marLeft w:val="0"/>
              <w:marRight w:val="0"/>
              <w:marTop w:val="0"/>
              <w:marBottom w:val="0"/>
              <w:divBdr>
                <w:top w:val="none" w:sz="0" w:space="0" w:color="auto"/>
                <w:left w:val="none" w:sz="0" w:space="0" w:color="auto"/>
                <w:bottom w:val="none" w:sz="0" w:space="0" w:color="auto"/>
                <w:right w:val="none" w:sz="0" w:space="0" w:color="auto"/>
              </w:divBdr>
            </w:div>
          </w:divsChild>
        </w:div>
        <w:div w:id="599801716">
          <w:marLeft w:val="0"/>
          <w:marRight w:val="0"/>
          <w:marTop w:val="0"/>
          <w:marBottom w:val="0"/>
          <w:divBdr>
            <w:top w:val="none" w:sz="0" w:space="0" w:color="auto"/>
            <w:left w:val="none" w:sz="0" w:space="0" w:color="auto"/>
            <w:bottom w:val="none" w:sz="0" w:space="0" w:color="auto"/>
            <w:right w:val="none" w:sz="0" w:space="0" w:color="auto"/>
          </w:divBdr>
          <w:divsChild>
            <w:div w:id="1044790794">
              <w:marLeft w:val="0"/>
              <w:marRight w:val="0"/>
              <w:marTop w:val="0"/>
              <w:marBottom w:val="0"/>
              <w:divBdr>
                <w:top w:val="none" w:sz="0" w:space="0" w:color="auto"/>
                <w:left w:val="none" w:sz="0" w:space="0" w:color="auto"/>
                <w:bottom w:val="none" w:sz="0" w:space="0" w:color="auto"/>
                <w:right w:val="none" w:sz="0" w:space="0" w:color="auto"/>
              </w:divBdr>
            </w:div>
          </w:divsChild>
        </w:div>
        <w:div w:id="329677439">
          <w:marLeft w:val="0"/>
          <w:marRight w:val="0"/>
          <w:marTop w:val="0"/>
          <w:marBottom w:val="0"/>
          <w:divBdr>
            <w:top w:val="none" w:sz="0" w:space="0" w:color="auto"/>
            <w:left w:val="none" w:sz="0" w:space="0" w:color="auto"/>
            <w:bottom w:val="none" w:sz="0" w:space="0" w:color="auto"/>
            <w:right w:val="none" w:sz="0" w:space="0" w:color="auto"/>
          </w:divBdr>
          <w:divsChild>
            <w:div w:id="1563977425">
              <w:marLeft w:val="0"/>
              <w:marRight w:val="0"/>
              <w:marTop w:val="0"/>
              <w:marBottom w:val="0"/>
              <w:divBdr>
                <w:top w:val="none" w:sz="0" w:space="0" w:color="auto"/>
                <w:left w:val="none" w:sz="0" w:space="0" w:color="auto"/>
                <w:bottom w:val="none" w:sz="0" w:space="0" w:color="auto"/>
                <w:right w:val="none" w:sz="0" w:space="0" w:color="auto"/>
              </w:divBdr>
            </w:div>
            <w:div w:id="2224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10939346">
      <w:bodyDiv w:val="1"/>
      <w:marLeft w:val="0"/>
      <w:marRight w:val="0"/>
      <w:marTop w:val="0"/>
      <w:marBottom w:val="0"/>
      <w:divBdr>
        <w:top w:val="none" w:sz="0" w:space="0" w:color="auto"/>
        <w:left w:val="none" w:sz="0" w:space="0" w:color="auto"/>
        <w:bottom w:val="none" w:sz="0" w:space="0" w:color="auto"/>
        <w:right w:val="none" w:sz="0" w:space="0" w:color="auto"/>
      </w:divBdr>
      <w:divsChild>
        <w:div w:id="1736273295">
          <w:marLeft w:val="0"/>
          <w:marRight w:val="0"/>
          <w:marTop w:val="0"/>
          <w:marBottom w:val="0"/>
          <w:divBdr>
            <w:top w:val="none" w:sz="0" w:space="0" w:color="auto"/>
            <w:left w:val="none" w:sz="0" w:space="0" w:color="auto"/>
            <w:bottom w:val="none" w:sz="0" w:space="0" w:color="auto"/>
            <w:right w:val="none" w:sz="0" w:space="0" w:color="auto"/>
          </w:divBdr>
        </w:div>
        <w:div w:id="627323285">
          <w:marLeft w:val="0"/>
          <w:marRight w:val="0"/>
          <w:marTop w:val="0"/>
          <w:marBottom w:val="0"/>
          <w:divBdr>
            <w:top w:val="none" w:sz="0" w:space="0" w:color="auto"/>
            <w:left w:val="none" w:sz="0" w:space="0" w:color="auto"/>
            <w:bottom w:val="none" w:sz="0" w:space="0" w:color="auto"/>
            <w:right w:val="none" w:sz="0" w:space="0" w:color="auto"/>
          </w:divBdr>
        </w:div>
        <w:div w:id="1071075091">
          <w:marLeft w:val="0"/>
          <w:marRight w:val="0"/>
          <w:marTop w:val="0"/>
          <w:marBottom w:val="0"/>
          <w:divBdr>
            <w:top w:val="none" w:sz="0" w:space="0" w:color="auto"/>
            <w:left w:val="none" w:sz="0" w:space="0" w:color="auto"/>
            <w:bottom w:val="none" w:sz="0" w:space="0" w:color="auto"/>
            <w:right w:val="none" w:sz="0" w:space="0" w:color="auto"/>
          </w:divBdr>
        </w:div>
        <w:div w:id="562908097">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65602176">
      <w:bodyDiv w:val="1"/>
      <w:marLeft w:val="0"/>
      <w:marRight w:val="0"/>
      <w:marTop w:val="0"/>
      <w:marBottom w:val="0"/>
      <w:divBdr>
        <w:top w:val="none" w:sz="0" w:space="0" w:color="auto"/>
        <w:left w:val="none" w:sz="0" w:space="0" w:color="auto"/>
        <w:bottom w:val="none" w:sz="0" w:space="0" w:color="auto"/>
        <w:right w:val="none" w:sz="0" w:space="0" w:color="auto"/>
      </w:divBdr>
      <w:divsChild>
        <w:div w:id="1044325673">
          <w:marLeft w:val="0"/>
          <w:marRight w:val="0"/>
          <w:marTop w:val="0"/>
          <w:marBottom w:val="0"/>
          <w:divBdr>
            <w:top w:val="none" w:sz="0" w:space="0" w:color="auto"/>
            <w:left w:val="none" w:sz="0" w:space="0" w:color="auto"/>
            <w:bottom w:val="none" w:sz="0" w:space="0" w:color="auto"/>
            <w:right w:val="none" w:sz="0" w:space="0" w:color="auto"/>
          </w:divBdr>
        </w:div>
        <w:div w:id="451628360">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footer" Target="footer6.xml"/><Relationship Id="rId21" Type="http://schemas.openxmlformats.org/officeDocument/2006/relationships/image" Target="media/image8.jpeg"/><Relationship Id="rId34" Type="http://schemas.openxmlformats.org/officeDocument/2006/relationships/footer" Target="footer3.xml"/><Relationship Id="rId42" Type="http://schemas.openxmlformats.org/officeDocument/2006/relationships/image" Target="media/image18.png"/><Relationship Id="rId47" Type="http://schemas.openxmlformats.org/officeDocument/2006/relationships/hyperlink" Target="http://www.loveourlakes.net.au" TargetMode="External"/><Relationship Id="rId50" Type="http://schemas.openxmlformats.org/officeDocument/2006/relationships/footer" Target="footer7.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creativecommons.org/licenses/by/4.0/" TargetMode="Externa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yperlink" Target="http://www.delwp.vic.gov.au" TargetMode="External"/><Relationship Id="rId37" Type="http://schemas.openxmlformats.org/officeDocument/2006/relationships/header" Target="header4.xml"/><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www.relayservice.com.au" TargetMode="External"/><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hyperlink" Target="mailto:customer.service@delwp.vic.gov.au" TargetMode="External"/><Relationship Id="rId35" Type="http://schemas.openxmlformats.org/officeDocument/2006/relationships/footer" Target="footer4.xml"/><Relationship Id="rId43" Type="http://schemas.openxmlformats.org/officeDocument/2006/relationships/hyperlink" Target="http://www.water.vic.gov.au" TargetMode="External"/><Relationship Id="rId48" Type="http://schemas.openxmlformats.org/officeDocument/2006/relationships/header" Target="header5.xml"/><Relationship Id="rId8" Type="http://schemas.openxmlformats.org/officeDocument/2006/relationships/numbering" Target="numbering.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oter" Target="footer5.xml"/><Relationship Id="rId46" Type="http://schemas.openxmlformats.org/officeDocument/2006/relationships/hyperlink" Target="http://www.water.vic.gov.au" TargetMode="External"/><Relationship Id="rId20" Type="http://schemas.openxmlformats.org/officeDocument/2006/relationships/image" Target="media/image7.jp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header" Target="header3.xml"/><Relationship Id="rId49" Type="http://schemas.openxmlformats.org/officeDocument/2006/relationships/header" Target="header6.xml"/></Relationships>
</file>

<file path=word/_rels/footer2.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footer4.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63162339109A1840808DDEEBA931D671" ma:contentTypeVersion="218" ma:contentTypeDescription="For use with ECM V2 Communications External libraries. All external communications activities. Not to be used for internal communication activities." ma:contentTypeScope="" ma:versionID="b9d7041c97c744e19f5c618fa5044377">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4f32b60f-787f-44da-9399-8d0c156d4ec9" xmlns:ns6="fd0acf45-f631-4cd2-86fc-eb412df53da8" targetNamespace="http://schemas.microsoft.com/office/2006/metadata/properties" ma:root="true" ma:fieldsID="d89002f51405eb36205dee646c777d1d" ns1:_="" ns2:_="" ns3:_="" ns4:_="" ns5:_="" ns6:_="">
    <xsd:import namespace="http://schemas.microsoft.com/sharepoint/v3"/>
    <xsd:import namespace="9fd47c19-1c4a-4d7d-b342-c10cef269344"/>
    <xsd:import namespace="a5f32de4-e402-4188-b034-e71ca7d22e54"/>
    <xsd:import namespace="4ef91aba-636c-4cd0-a0fd-c3e43486de6c"/>
    <xsd:import namespace="4f32b60f-787f-44da-9399-8d0c156d4ec9"/>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Project"/>
                <xsd:element ref="ns5:SubProject"/>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GenerationTime" minOccurs="0"/>
                <xsd:element ref="ns5:MediaServiceEventHashCode" minOccurs="0"/>
                <xsd:element ref="ns5:MediaServiceDateTaken" minOccurs="0"/>
                <xsd:element ref="ns5:MediaServiceLocation"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32b60f-787f-44da-9399-8d0c156d4ec9" elementFormDefault="qualified">
    <xsd:import namespace="http://schemas.microsoft.com/office/2006/documentManagement/types"/>
    <xsd:import namespace="http://schemas.microsoft.com/office/infopath/2007/PartnerControls"/>
    <xsd:element name="Project" ma:index="28" ma:displayName="Project" ma:format="Dropdown" ma:internalName="Project">
      <xsd:simpleType>
        <xsd:union memberTypes="dms:Text">
          <xsd:simpleType>
            <xsd:restriction base="dms:Choice">
              <xsd:enumeration value="Administration and Governance"/>
              <xsd:enumeration value="Projects"/>
              <xsd:enumeration value="Stakeholders"/>
              <xsd:enumeration value="Other"/>
              <xsd:enumeration value="Meetings Forum"/>
              <xsd:enumeration value="Meetings Practitioner"/>
              <xsd:enumeration value="SDS's"/>
            </xsd:restriction>
          </xsd:simpleType>
        </xsd:union>
      </xsd:simpleType>
    </xsd:element>
    <xsd:element name="SubProject" ma:index="29"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Terms of Reference"/>
              <xsd:enumeration value="Other"/>
              <xsd:enumeration value="Maps"/>
            </xsd:restriction>
          </xsd:simpleType>
        </xsd:un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146</Value>
      <Value>158</Value>
      <Value>2</Value>
      <Value>1</Value>
      <Value>147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2f94465d-e76c-4889-8a29-56933e521d15</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TermInfo xmlns="http://schemas.microsoft.com/office/infopath/2007/PartnerControls">
          <TermName xmlns="http://schemas.microsoft.com/office/infopath/2007/PartnerControls">Project / Program - Routine or Administrative</TermName>
          <TermId xmlns="http://schemas.microsoft.com/office/infopath/2007/PartnerControls">4b22e6eb-4161-4f58-8f47-a7986e7b362c</TermId>
        </TermInfo>
      </Term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DOCID775-1962385228-241</_dlc_DocId>
    <_dlc_DocIdUrl xmlns="a5f32de4-e402-4188-b034-e71ca7d22e54">
      <Url>https://delwpvicgovau.sharepoint.com/sites/ecm_775/_layouts/15/DocIdRedir.aspx?ID=DOCID775-1962385228-241</Url>
      <Description>DOCID775-1962385228-241</Description>
    </_dlc_DocIdUrl>
    <DLCPolicyLabelClientValue xmlns="4ef91aba-636c-4cd0-a0fd-c3e43486de6c">Version {_UIVersionString}</DLCPolicyLabelClientValue>
    <DLCPolicyLabelLock xmlns="4ef91aba-636c-4cd0-a0fd-c3e43486de6c" xsi:nil="true"/>
    <DLCPolicyLabelValue xmlns="4ef91aba-636c-4cd0-a0fd-c3e43486de6c">Version 0.6</DLCPolicyLabelValue>
    <Project xmlns="4f32b60f-787f-44da-9399-8d0c156d4ec9">Strategic Direction Statement</Project>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SubProject xmlns="4f32b60f-787f-44da-9399-8d0c156d4ec9">Other</SubProject>
    <Communication_Status xmlns="9fd47c19-1c4a-4d7d-b342-c10cef269344">Started</Communication_Status>
    <_dlc_Exempt xmlns="http://schemas.microsoft.com/sharepoint/v3">false</_dlc_Exempt>
    <_dlc_DocIdPersistId xmlns="a5f32de4-e402-4188-b034-e71ca7d22e54">false</_dlc_DocIdPersistId>
    <lcf76f155ced4ddcb4097134ff3c332f xmlns="4f32b60f-787f-44da-9399-8d0c156d4ec9">
      <Terms xmlns="http://schemas.microsoft.com/office/infopath/2007/PartnerControls"/>
    </lcf76f155ced4ddcb4097134ff3c332f>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4AF70A17-7B04-4AFE-B5FB-50642E8EA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4f32b60f-787f-44da-9399-8d0c156d4ec9"/>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1C52BB-ABEF-42FB-8F81-07E04584F64C}">
  <ds:schemaRefs>
    <ds:schemaRef ds:uri="office.server.policy"/>
  </ds:schemaRefs>
</ds:datastoreItem>
</file>

<file path=customXml/itemProps3.xml><?xml version="1.0" encoding="utf-8"?>
<ds:datastoreItem xmlns:ds="http://schemas.openxmlformats.org/officeDocument/2006/customXml" ds:itemID="{454A1B74-5044-452F-B025-D306FF539BBE}">
  <ds:schemaRefs>
    <ds:schemaRef ds:uri="http://schemas.openxmlformats.org/officeDocument/2006/bibliography"/>
  </ds:schemaRefs>
</ds:datastoreItem>
</file>

<file path=customXml/itemProps4.xml><?xml version="1.0" encoding="utf-8"?>
<ds:datastoreItem xmlns:ds="http://schemas.openxmlformats.org/officeDocument/2006/customXml" ds:itemID="{8C779497-C708-4899-8130-9788C7F658A8}">
  <ds:schemaRefs>
    <ds:schemaRef ds:uri="http://schemas.microsoft.com/sharepoint/v3/contenttype/forms"/>
  </ds:schemaRefs>
</ds:datastoreItem>
</file>

<file path=customXml/itemProps5.xml><?xml version="1.0" encoding="utf-8"?>
<ds:datastoreItem xmlns:ds="http://schemas.openxmlformats.org/officeDocument/2006/customXml" ds:itemID="{77224150-EEAC-4470-BA75-1EC004BA4C79}">
  <ds:schemaRefs>
    <ds:schemaRef ds:uri="http://www.w3.org/XML/1998/namespace"/>
    <ds:schemaRef ds:uri="http://schemas.microsoft.com/office/infopath/2007/PartnerControls"/>
    <ds:schemaRef ds:uri="http://purl.org/dc/terms/"/>
    <ds:schemaRef ds:uri="http://purl.org/dc/elements/1.1/"/>
    <ds:schemaRef ds:uri="http://schemas.openxmlformats.org/package/2006/metadata/core-properties"/>
    <ds:schemaRef ds:uri="http://schemas.microsoft.com/sharepoint/v3"/>
    <ds:schemaRef ds:uri="http://purl.org/dc/dcmitype/"/>
    <ds:schemaRef ds:uri="fd0acf45-f631-4cd2-86fc-eb412df53da8"/>
    <ds:schemaRef ds:uri="http://schemas.microsoft.com/office/2006/metadata/properties"/>
    <ds:schemaRef ds:uri="http://schemas.microsoft.com/office/2006/documentManagement/types"/>
    <ds:schemaRef ds:uri="9fd47c19-1c4a-4d7d-b342-c10cef269344"/>
    <ds:schemaRef ds:uri="4f32b60f-787f-44da-9399-8d0c156d4ec9"/>
    <ds:schemaRef ds:uri="4ef91aba-636c-4cd0-a0fd-c3e43486de6c"/>
    <ds:schemaRef ds:uri="a5f32de4-e402-4188-b034-e71ca7d22e54"/>
  </ds:schemaRefs>
</ds:datastoreItem>
</file>

<file path=customXml/itemProps6.xml><?xml version="1.0" encoding="utf-8"?>
<ds:datastoreItem xmlns:ds="http://schemas.openxmlformats.org/officeDocument/2006/customXml" ds:itemID="{F230B2C8-8D3F-442A-91B3-48037D1FD470}">
  <ds:schemaRefs>
    <ds:schemaRef ds:uri="http://schemas.microsoft.com/sharepoint/events"/>
  </ds:schemaRefs>
</ds:datastoreItem>
</file>

<file path=customXml/itemProps7.xml><?xml version="1.0" encoding="utf-8"?>
<ds:datastoreItem xmlns:ds="http://schemas.openxmlformats.org/officeDocument/2006/customXml" ds:itemID="{0D8BF56F-7663-4D1C-B36E-88C2B1F9DFE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10898</Words>
  <Characters>62122</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Barwon Strategic Directions Statement June 2022 - Accessible version</vt:lpstr>
    </vt:vector>
  </TitlesOfParts>
  <Company/>
  <LinksUpToDate>false</LinksUpToDate>
  <CharactersWithSpaces>72875</CharactersWithSpaces>
  <SharedDoc>false</SharedDoc>
  <HLinks>
    <vt:vector size="324" baseType="variant">
      <vt:variant>
        <vt:i4>3670048</vt:i4>
      </vt:variant>
      <vt:variant>
        <vt:i4>306</vt:i4>
      </vt:variant>
      <vt:variant>
        <vt:i4>0</vt:i4>
      </vt:variant>
      <vt:variant>
        <vt:i4>5</vt:i4>
      </vt:variant>
      <vt:variant>
        <vt:lpwstr>http://www.loveourlakes.net.au/</vt:lpwstr>
      </vt:variant>
      <vt:variant>
        <vt:lpwstr/>
      </vt:variant>
      <vt:variant>
        <vt:i4>1048585</vt:i4>
      </vt:variant>
      <vt:variant>
        <vt:i4>300</vt:i4>
      </vt:variant>
      <vt:variant>
        <vt:i4>0</vt:i4>
      </vt:variant>
      <vt:variant>
        <vt:i4>5</vt:i4>
      </vt:variant>
      <vt:variant>
        <vt:lpwstr>http://www.water.vic.gov.au/</vt:lpwstr>
      </vt:variant>
      <vt:variant>
        <vt:lpwstr/>
      </vt:variant>
      <vt:variant>
        <vt:i4>1048585</vt:i4>
      </vt:variant>
      <vt:variant>
        <vt:i4>297</vt:i4>
      </vt:variant>
      <vt:variant>
        <vt:i4>0</vt:i4>
      </vt:variant>
      <vt:variant>
        <vt:i4>5</vt:i4>
      </vt:variant>
      <vt:variant>
        <vt:lpwstr>http://www.water.vic.gov.au/</vt:lpwstr>
      </vt:variant>
      <vt:variant>
        <vt:lpwstr/>
      </vt:variant>
      <vt:variant>
        <vt:i4>1507380</vt:i4>
      </vt:variant>
      <vt:variant>
        <vt:i4>290</vt:i4>
      </vt:variant>
      <vt:variant>
        <vt:i4>0</vt:i4>
      </vt:variant>
      <vt:variant>
        <vt:i4>5</vt:i4>
      </vt:variant>
      <vt:variant>
        <vt:lpwstr/>
      </vt:variant>
      <vt:variant>
        <vt:lpwstr>_Toc116467528</vt:lpwstr>
      </vt:variant>
      <vt:variant>
        <vt:i4>1507380</vt:i4>
      </vt:variant>
      <vt:variant>
        <vt:i4>284</vt:i4>
      </vt:variant>
      <vt:variant>
        <vt:i4>0</vt:i4>
      </vt:variant>
      <vt:variant>
        <vt:i4>5</vt:i4>
      </vt:variant>
      <vt:variant>
        <vt:lpwstr/>
      </vt:variant>
      <vt:variant>
        <vt:lpwstr>_Toc116467527</vt:lpwstr>
      </vt:variant>
      <vt:variant>
        <vt:i4>1507380</vt:i4>
      </vt:variant>
      <vt:variant>
        <vt:i4>278</vt:i4>
      </vt:variant>
      <vt:variant>
        <vt:i4>0</vt:i4>
      </vt:variant>
      <vt:variant>
        <vt:i4>5</vt:i4>
      </vt:variant>
      <vt:variant>
        <vt:lpwstr/>
      </vt:variant>
      <vt:variant>
        <vt:lpwstr>_Toc116467526</vt:lpwstr>
      </vt:variant>
      <vt:variant>
        <vt:i4>1507380</vt:i4>
      </vt:variant>
      <vt:variant>
        <vt:i4>272</vt:i4>
      </vt:variant>
      <vt:variant>
        <vt:i4>0</vt:i4>
      </vt:variant>
      <vt:variant>
        <vt:i4>5</vt:i4>
      </vt:variant>
      <vt:variant>
        <vt:lpwstr/>
      </vt:variant>
      <vt:variant>
        <vt:lpwstr>_Toc116467525</vt:lpwstr>
      </vt:variant>
      <vt:variant>
        <vt:i4>1507380</vt:i4>
      </vt:variant>
      <vt:variant>
        <vt:i4>266</vt:i4>
      </vt:variant>
      <vt:variant>
        <vt:i4>0</vt:i4>
      </vt:variant>
      <vt:variant>
        <vt:i4>5</vt:i4>
      </vt:variant>
      <vt:variant>
        <vt:lpwstr/>
      </vt:variant>
      <vt:variant>
        <vt:lpwstr>_Toc116467524</vt:lpwstr>
      </vt:variant>
      <vt:variant>
        <vt:i4>1507380</vt:i4>
      </vt:variant>
      <vt:variant>
        <vt:i4>260</vt:i4>
      </vt:variant>
      <vt:variant>
        <vt:i4>0</vt:i4>
      </vt:variant>
      <vt:variant>
        <vt:i4>5</vt:i4>
      </vt:variant>
      <vt:variant>
        <vt:lpwstr/>
      </vt:variant>
      <vt:variant>
        <vt:lpwstr>_Toc116467523</vt:lpwstr>
      </vt:variant>
      <vt:variant>
        <vt:i4>1507380</vt:i4>
      </vt:variant>
      <vt:variant>
        <vt:i4>254</vt:i4>
      </vt:variant>
      <vt:variant>
        <vt:i4>0</vt:i4>
      </vt:variant>
      <vt:variant>
        <vt:i4>5</vt:i4>
      </vt:variant>
      <vt:variant>
        <vt:lpwstr/>
      </vt:variant>
      <vt:variant>
        <vt:lpwstr>_Toc116467522</vt:lpwstr>
      </vt:variant>
      <vt:variant>
        <vt:i4>1507380</vt:i4>
      </vt:variant>
      <vt:variant>
        <vt:i4>248</vt:i4>
      </vt:variant>
      <vt:variant>
        <vt:i4>0</vt:i4>
      </vt:variant>
      <vt:variant>
        <vt:i4>5</vt:i4>
      </vt:variant>
      <vt:variant>
        <vt:lpwstr/>
      </vt:variant>
      <vt:variant>
        <vt:lpwstr>_Toc116467521</vt:lpwstr>
      </vt:variant>
      <vt:variant>
        <vt:i4>1507380</vt:i4>
      </vt:variant>
      <vt:variant>
        <vt:i4>242</vt:i4>
      </vt:variant>
      <vt:variant>
        <vt:i4>0</vt:i4>
      </vt:variant>
      <vt:variant>
        <vt:i4>5</vt:i4>
      </vt:variant>
      <vt:variant>
        <vt:lpwstr/>
      </vt:variant>
      <vt:variant>
        <vt:lpwstr>_Toc116467520</vt:lpwstr>
      </vt:variant>
      <vt:variant>
        <vt:i4>1310772</vt:i4>
      </vt:variant>
      <vt:variant>
        <vt:i4>236</vt:i4>
      </vt:variant>
      <vt:variant>
        <vt:i4>0</vt:i4>
      </vt:variant>
      <vt:variant>
        <vt:i4>5</vt:i4>
      </vt:variant>
      <vt:variant>
        <vt:lpwstr/>
      </vt:variant>
      <vt:variant>
        <vt:lpwstr>_Toc116467519</vt:lpwstr>
      </vt:variant>
      <vt:variant>
        <vt:i4>1310772</vt:i4>
      </vt:variant>
      <vt:variant>
        <vt:i4>230</vt:i4>
      </vt:variant>
      <vt:variant>
        <vt:i4>0</vt:i4>
      </vt:variant>
      <vt:variant>
        <vt:i4>5</vt:i4>
      </vt:variant>
      <vt:variant>
        <vt:lpwstr/>
      </vt:variant>
      <vt:variant>
        <vt:lpwstr>_Toc116467518</vt:lpwstr>
      </vt:variant>
      <vt:variant>
        <vt:i4>1310772</vt:i4>
      </vt:variant>
      <vt:variant>
        <vt:i4>224</vt:i4>
      </vt:variant>
      <vt:variant>
        <vt:i4>0</vt:i4>
      </vt:variant>
      <vt:variant>
        <vt:i4>5</vt:i4>
      </vt:variant>
      <vt:variant>
        <vt:lpwstr/>
      </vt:variant>
      <vt:variant>
        <vt:lpwstr>_Toc116467517</vt:lpwstr>
      </vt:variant>
      <vt:variant>
        <vt:i4>1310772</vt:i4>
      </vt:variant>
      <vt:variant>
        <vt:i4>218</vt:i4>
      </vt:variant>
      <vt:variant>
        <vt:i4>0</vt:i4>
      </vt:variant>
      <vt:variant>
        <vt:i4>5</vt:i4>
      </vt:variant>
      <vt:variant>
        <vt:lpwstr/>
      </vt:variant>
      <vt:variant>
        <vt:lpwstr>_Toc116467516</vt:lpwstr>
      </vt:variant>
      <vt:variant>
        <vt:i4>1310772</vt:i4>
      </vt:variant>
      <vt:variant>
        <vt:i4>212</vt:i4>
      </vt:variant>
      <vt:variant>
        <vt:i4>0</vt:i4>
      </vt:variant>
      <vt:variant>
        <vt:i4>5</vt:i4>
      </vt:variant>
      <vt:variant>
        <vt:lpwstr/>
      </vt:variant>
      <vt:variant>
        <vt:lpwstr>_Toc116467515</vt:lpwstr>
      </vt:variant>
      <vt:variant>
        <vt:i4>1310772</vt:i4>
      </vt:variant>
      <vt:variant>
        <vt:i4>206</vt:i4>
      </vt:variant>
      <vt:variant>
        <vt:i4>0</vt:i4>
      </vt:variant>
      <vt:variant>
        <vt:i4>5</vt:i4>
      </vt:variant>
      <vt:variant>
        <vt:lpwstr/>
      </vt:variant>
      <vt:variant>
        <vt:lpwstr>_Toc116467514</vt:lpwstr>
      </vt:variant>
      <vt:variant>
        <vt:i4>1310772</vt:i4>
      </vt:variant>
      <vt:variant>
        <vt:i4>200</vt:i4>
      </vt:variant>
      <vt:variant>
        <vt:i4>0</vt:i4>
      </vt:variant>
      <vt:variant>
        <vt:i4>5</vt:i4>
      </vt:variant>
      <vt:variant>
        <vt:lpwstr/>
      </vt:variant>
      <vt:variant>
        <vt:lpwstr>_Toc116467513</vt:lpwstr>
      </vt:variant>
      <vt:variant>
        <vt:i4>1310772</vt:i4>
      </vt:variant>
      <vt:variant>
        <vt:i4>194</vt:i4>
      </vt:variant>
      <vt:variant>
        <vt:i4>0</vt:i4>
      </vt:variant>
      <vt:variant>
        <vt:i4>5</vt:i4>
      </vt:variant>
      <vt:variant>
        <vt:lpwstr/>
      </vt:variant>
      <vt:variant>
        <vt:lpwstr>_Toc116467512</vt:lpwstr>
      </vt:variant>
      <vt:variant>
        <vt:i4>1310772</vt:i4>
      </vt:variant>
      <vt:variant>
        <vt:i4>188</vt:i4>
      </vt:variant>
      <vt:variant>
        <vt:i4>0</vt:i4>
      </vt:variant>
      <vt:variant>
        <vt:i4>5</vt:i4>
      </vt:variant>
      <vt:variant>
        <vt:lpwstr/>
      </vt:variant>
      <vt:variant>
        <vt:lpwstr>_Toc116467511</vt:lpwstr>
      </vt:variant>
      <vt:variant>
        <vt:i4>1310772</vt:i4>
      </vt:variant>
      <vt:variant>
        <vt:i4>182</vt:i4>
      </vt:variant>
      <vt:variant>
        <vt:i4>0</vt:i4>
      </vt:variant>
      <vt:variant>
        <vt:i4>5</vt:i4>
      </vt:variant>
      <vt:variant>
        <vt:lpwstr/>
      </vt:variant>
      <vt:variant>
        <vt:lpwstr>_Toc116467510</vt:lpwstr>
      </vt:variant>
      <vt:variant>
        <vt:i4>1376308</vt:i4>
      </vt:variant>
      <vt:variant>
        <vt:i4>176</vt:i4>
      </vt:variant>
      <vt:variant>
        <vt:i4>0</vt:i4>
      </vt:variant>
      <vt:variant>
        <vt:i4>5</vt:i4>
      </vt:variant>
      <vt:variant>
        <vt:lpwstr/>
      </vt:variant>
      <vt:variant>
        <vt:lpwstr>_Toc116467509</vt:lpwstr>
      </vt:variant>
      <vt:variant>
        <vt:i4>1376308</vt:i4>
      </vt:variant>
      <vt:variant>
        <vt:i4>170</vt:i4>
      </vt:variant>
      <vt:variant>
        <vt:i4>0</vt:i4>
      </vt:variant>
      <vt:variant>
        <vt:i4>5</vt:i4>
      </vt:variant>
      <vt:variant>
        <vt:lpwstr/>
      </vt:variant>
      <vt:variant>
        <vt:lpwstr>_Toc116467508</vt:lpwstr>
      </vt:variant>
      <vt:variant>
        <vt:i4>1376308</vt:i4>
      </vt:variant>
      <vt:variant>
        <vt:i4>164</vt:i4>
      </vt:variant>
      <vt:variant>
        <vt:i4>0</vt:i4>
      </vt:variant>
      <vt:variant>
        <vt:i4>5</vt:i4>
      </vt:variant>
      <vt:variant>
        <vt:lpwstr/>
      </vt:variant>
      <vt:variant>
        <vt:lpwstr>_Toc116467507</vt:lpwstr>
      </vt:variant>
      <vt:variant>
        <vt:i4>1376308</vt:i4>
      </vt:variant>
      <vt:variant>
        <vt:i4>158</vt:i4>
      </vt:variant>
      <vt:variant>
        <vt:i4>0</vt:i4>
      </vt:variant>
      <vt:variant>
        <vt:i4>5</vt:i4>
      </vt:variant>
      <vt:variant>
        <vt:lpwstr/>
      </vt:variant>
      <vt:variant>
        <vt:lpwstr>_Toc116467506</vt:lpwstr>
      </vt:variant>
      <vt:variant>
        <vt:i4>1376308</vt:i4>
      </vt:variant>
      <vt:variant>
        <vt:i4>152</vt:i4>
      </vt:variant>
      <vt:variant>
        <vt:i4>0</vt:i4>
      </vt:variant>
      <vt:variant>
        <vt:i4>5</vt:i4>
      </vt:variant>
      <vt:variant>
        <vt:lpwstr/>
      </vt:variant>
      <vt:variant>
        <vt:lpwstr>_Toc116467505</vt:lpwstr>
      </vt:variant>
      <vt:variant>
        <vt:i4>1376308</vt:i4>
      </vt:variant>
      <vt:variant>
        <vt:i4>146</vt:i4>
      </vt:variant>
      <vt:variant>
        <vt:i4>0</vt:i4>
      </vt:variant>
      <vt:variant>
        <vt:i4>5</vt:i4>
      </vt:variant>
      <vt:variant>
        <vt:lpwstr/>
      </vt:variant>
      <vt:variant>
        <vt:lpwstr>_Toc116467504</vt:lpwstr>
      </vt:variant>
      <vt:variant>
        <vt:i4>1376308</vt:i4>
      </vt:variant>
      <vt:variant>
        <vt:i4>140</vt:i4>
      </vt:variant>
      <vt:variant>
        <vt:i4>0</vt:i4>
      </vt:variant>
      <vt:variant>
        <vt:i4>5</vt:i4>
      </vt:variant>
      <vt:variant>
        <vt:lpwstr/>
      </vt:variant>
      <vt:variant>
        <vt:lpwstr>_Toc116467503</vt:lpwstr>
      </vt:variant>
      <vt:variant>
        <vt:i4>1376308</vt:i4>
      </vt:variant>
      <vt:variant>
        <vt:i4>134</vt:i4>
      </vt:variant>
      <vt:variant>
        <vt:i4>0</vt:i4>
      </vt:variant>
      <vt:variant>
        <vt:i4>5</vt:i4>
      </vt:variant>
      <vt:variant>
        <vt:lpwstr/>
      </vt:variant>
      <vt:variant>
        <vt:lpwstr>_Toc116467502</vt:lpwstr>
      </vt:variant>
      <vt:variant>
        <vt:i4>1376308</vt:i4>
      </vt:variant>
      <vt:variant>
        <vt:i4>128</vt:i4>
      </vt:variant>
      <vt:variant>
        <vt:i4>0</vt:i4>
      </vt:variant>
      <vt:variant>
        <vt:i4>5</vt:i4>
      </vt:variant>
      <vt:variant>
        <vt:lpwstr/>
      </vt:variant>
      <vt:variant>
        <vt:lpwstr>_Toc116467501</vt:lpwstr>
      </vt:variant>
      <vt:variant>
        <vt:i4>1376308</vt:i4>
      </vt:variant>
      <vt:variant>
        <vt:i4>122</vt:i4>
      </vt:variant>
      <vt:variant>
        <vt:i4>0</vt:i4>
      </vt:variant>
      <vt:variant>
        <vt:i4>5</vt:i4>
      </vt:variant>
      <vt:variant>
        <vt:lpwstr/>
      </vt:variant>
      <vt:variant>
        <vt:lpwstr>_Toc116467500</vt:lpwstr>
      </vt:variant>
      <vt:variant>
        <vt:i4>1835061</vt:i4>
      </vt:variant>
      <vt:variant>
        <vt:i4>116</vt:i4>
      </vt:variant>
      <vt:variant>
        <vt:i4>0</vt:i4>
      </vt:variant>
      <vt:variant>
        <vt:i4>5</vt:i4>
      </vt:variant>
      <vt:variant>
        <vt:lpwstr/>
      </vt:variant>
      <vt:variant>
        <vt:lpwstr>_Toc116467499</vt:lpwstr>
      </vt:variant>
      <vt:variant>
        <vt:i4>1835061</vt:i4>
      </vt:variant>
      <vt:variant>
        <vt:i4>110</vt:i4>
      </vt:variant>
      <vt:variant>
        <vt:i4>0</vt:i4>
      </vt:variant>
      <vt:variant>
        <vt:i4>5</vt:i4>
      </vt:variant>
      <vt:variant>
        <vt:lpwstr/>
      </vt:variant>
      <vt:variant>
        <vt:lpwstr>_Toc116467498</vt:lpwstr>
      </vt:variant>
      <vt:variant>
        <vt:i4>1835061</vt:i4>
      </vt:variant>
      <vt:variant>
        <vt:i4>104</vt:i4>
      </vt:variant>
      <vt:variant>
        <vt:i4>0</vt:i4>
      </vt:variant>
      <vt:variant>
        <vt:i4>5</vt:i4>
      </vt:variant>
      <vt:variant>
        <vt:lpwstr/>
      </vt:variant>
      <vt:variant>
        <vt:lpwstr>_Toc116467497</vt:lpwstr>
      </vt:variant>
      <vt:variant>
        <vt:i4>1835061</vt:i4>
      </vt:variant>
      <vt:variant>
        <vt:i4>98</vt:i4>
      </vt:variant>
      <vt:variant>
        <vt:i4>0</vt:i4>
      </vt:variant>
      <vt:variant>
        <vt:i4>5</vt:i4>
      </vt:variant>
      <vt:variant>
        <vt:lpwstr/>
      </vt:variant>
      <vt:variant>
        <vt:lpwstr>_Toc116467496</vt:lpwstr>
      </vt:variant>
      <vt:variant>
        <vt:i4>1835061</vt:i4>
      </vt:variant>
      <vt:variant>
        <vt:i4>92</vt:i4>
      </vt:variant>
      <vt:variant>
        <vt:i4>0</vt:i4>
      </vt:variant>
      <vt:variant>
        <vt:i4>5</vt:i4>
      </vt:variant>
      <vt:variant>
        <vt:lpwstr/>
      </vt:variant>
      <vt:variant>
        <vt:lpwstr>_Toc116467495</vt:lpwstr>
      </vt:variant>
      <vt:variant>
        <vt:i4>1835061</vt:i4>
      </vt:variant>
      <vt:variant>
        <vt:i4>86</vt:i4>
      </vt:variant>
      <vt:variant>
        <vt:i4>0</vt:i4>
      </vt:variant>
      <vt:variant>
        <vt:i4>5</vt:i4>
      </vt:variant>
      <vt:variant>
        <vt:lpwstr/>
      </vt:variant>
      <vt:variant>
        <vt:lpwstr>_Toc116467494</vt:lpwstr>
      </vt:variant>
      <vt:variant>
        <vt:i4>1835061</vt:i4>
      </vt:variant>
      <vt:variant>
        <vt:i4>80</vt:i4>
      </vt:variant>
      <vt:variant>
        <vt:i4>0</vt:i4>
      </vt:variant>
      <vt:variant>
        <vt:i4>5</vt:i4>
      </vt:variant>
      <vt:variant>
        <vt:lpwstr/>
      </vt:variant>
      <vt:variant>
        <vt:lpwstr>_Toc116467493</vt:lpwstr>
      </vt:variant>
      <vt:variant>
        <vt:i4>1835061</vt:i4>
      </vt:variant>
      <vt:variant>
        <vt:i4>74</vt:i4>
      </vt:variant>
      <vt:variant>
        <vt:i4>0</vt:i4>
      </vt:variant>
      <vt:variant>
        <vt:i4>5</vt:i4>
      </vt:variant>
      <vt:variant>
        <vt:lpwstr/>
      </vt:variant>
      <vt:variant>
        <vt:lpwstr>_Toc116467492</vt:lpwstr>
      </vt:variant>
      <vt:variant>
        <vt:i4>1835061</vt:i4>
      </vt:variant>
      <vt:variant>
        <vt:i4>68</vt:i4>
      </vt:variant>
      <vt:variant>
        <vt:i4>0</vt:i4>
      </vt:variant>
      <vt:variant>
        <vt:i4>5</vt:i4>
      </vt:variant>
      <vt:variant>
        <vt:lpwstr/>
      </vt:variant>
      <vt:variant>
        <vt:lpwstr>_Toc116467491</vt:lpwstr>
      </vt:variant>
      <vt:variant>
        <vt:i4>1835061</vt:i4>
      </vt:variant>
      <vt:variant>
        <vt:i4>62</vt:i4>
      </vt:variant>
      <vt:variant>
        <vt:i4>0</vt:i4>
      </vt:variant>
      <vt:variant>
        <vt:i4>5</vt:i4>
      </vt:variant>
      <vt:variant>
        <vt:lpwstr/>
      </vt:variant>
      <vt:variant>
        <vt:lpwstr>_Toc116467490</vt:lpwstr>
      </vt:variant>
      <vt:variant>
        <vt:i4>1900597</vt:i4>
      </vt:variant>
      <vt:variant>
        <vt:i4>56</vt:i4>
      </vt:variant>
      <vt:variant>
        <vt:i4>0</vt:i4>
      </vt:variant>
      <vt:variant>
        <vt:i4>5</vt:i4>
      </vt:variant>
      <vt:variant>
        <vt:lpwstr/>
      </vt:variant>
      <vt:variant>
        <vt:lpwstr>_Toc116467489</vt:lpwstr>
      </vt:variant>
      <vt:variant>
        <vt:i4>1900597</vt:i4>
      </vt:variant>
      <vt:variant>
        <vt:i4>50</vt:i4>
      </vt:variant>
      <vt:variant>
        <vt:i4>0</vt:i4>
      </vt:variant>
      <vt:variant>
        <vt:i4>5</vt:i4>
      </vt:variant>
      <vt:variant>
        <vt:lpwstr/>
      </vt:variant>
      <vt:variant>
        <vt:lpwstr>_Toc116467488</vt:lpwstr>
      </vt:variant>
      <vt:variant>
        <vt:i4>1900597</vt:i4>
      </vt:variant>
      <vt:variant>
        <vt:i4>44</vt:i4>
      </vt:variant>
      <vt:variant>
        <vt:i4>0</vt:i4>
      </vt:variant>
      <vt:variant>
        <vt:i4>5</vt:i4>
      </vt:variant>
      <vt:variant>
        <vt:lpwstr/>
      </vt:variant>
      <vt:variant>
        <vt:lpwstr>_Toc116467487</vt:lpwstr>
      </vt:variant>
      <vt:variant>
        <vt:i4>1900597</vt:i4>
      </vt:variant>
      <vt:variant>
        <vt:i4>38</vt:i4>
      </vt:variant>
      <vt:variant>
        <vt:i4>0</vt:i4>
      </vt:variant>
      <vt:variant>
        <vt:i4>5</vt:i4>
      </vt:variant>
      <vt:variant>
        <vt:lpwstr/>
      </vt:variant>
      <vt:variant>
        <vt:lpwstr>_Toc116467486</vt:lpwstr>
      </vt:variant>
      <vt:variant>
        <vt:i4>1900597</vt:i4>
      </vt:variant>
      <vt:variant>
        <vt:i4>32</vt:i4>
      </vt:variant>
      <vt:variant>
        <vt:i4>0</vt:i4>
      </vt:variant>
      <vt:variant>
        <vt:i4>5</vt:i4>
      </vt:variant>
      <vt:variant>
        <vt:lpwstr/>
      </vt:variant>
      <vt:variant>
        <vt:lpwstr>_Toc116467485</vt:lpwstr>
      </vt:variant>
      <vt:variant>
        <vt:i4>1900597</vt:i4>
      </vt:variant>
      <vt:variant>
        <vt:i4>26</vt:i4>
      </vt:variant>
      <vt:variant>
        <vt:i4>0</vt:i4>
      </vt:variant>
      <vt:variant>
        <vt:i4>5</vt:i4>
      </vt:variant>
      <vt:variant>
        <vt:lpwstr/>
      </vt:variant>
      <vt:variant>
        <vt:lpwstr>_Toc116467484</vt:lpwstr>
      </vt:variant>
      <vt:variant>
        <vt:i4>1900597</vt:i4>
      </vt:variant>
      <vt:variant>
        <vt:i4>20</vt:i4>
      </vt:variant>
      <vt:variant>
        <vt:i4>0</vt:i4>
      </vt:variant>
      <vt:variant>
        <vt:i4>5</vt:i4>
      </vt:variant>
      <vt:variant>
        <vt:lpwstr/>
      </vt:variant>
      <vt:variant>
        <vt:lpwstr>_Toc116467483</vt:lpwstr>
      </vt:variant>
      <vt:variant>
        <vt:i4>1900597</vt:i4>
      </vt:variant>
      <vt:variant>
        <vt:i4>14</vt:i4>
      </vt:variant>
      <vt:variant>
        <vt:i4>0</vt:i4>
      </vt:variant>
      <vt:variant>
        <vt:i4>5</vt:i4>
      </vt:variant>
      <vt:variant>
        <vt:lpwstr/>
      </vt:variant>
      <vt:variant>
        <vt:lpwstr>_Toc116467482</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Barwon Strategic Directions Statement June 2022 - Accessible version</dc:title>
  <dc:subject/>
  <dc:creator>Claire R Hollier (DELWP)</dc:creator>
  <cp:keywords/>
  <dc:description/>
  <cp:lastModifiedBy>Gabriel L Cornell (DEECA)</cp:lastModifiedBy>
  <cp:revision>2</cp:revision>
  <cp:lastPrinted>2016-09-05T12:34:00Z</cp:lastPrinted>
  <dcterms:created xsi:type="dcterms:W3CDTF">2024-12-23T00:24:00Z</dcterms:created>
  <dcterms:modified xsi:type="dcterms:W3CDTF">2024-12-23T00:24:00Z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Barwon</vt:lpwstr>
  </property>
  <property fmtid="{D5CDD505-2E9C-101B-9397-08002B2CF9AE}" pid="3" name="xSubtitle">
    <vt:lpwstr>Strategic Directions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Barwon</vt:lpwstr>
  </property>
  <property fmtid="{D5CDD505-2E9C-101B-9397-08002B2CF9AE}" pid="16" name="xFooterSubtitle">
    <vt:lpwstr>Strategic Directions Statement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2022-06-07T21:49:21Z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02126d02-f0f7-4ef7-bb66-4422ff95083a</vt:lpwstr>
  </property>
  <property fmtid="{D5CDD505-2E9C-101B-9397-08002B2CF9AE}" pid="24" name="MSIP_Label_4257e2ab-f512-40e2-9c9a-c64247360765_ContentBits">
    <vt:lpwstr>2</vt:lpwstr>
  </property>
  <property fmtid="{D5CDD505-2E9C-101B-9397-08002B2CF9AE}" pid="25" name="ContentTypeId">
    <vt:lpwstr>0x0101009298E819CE1EBB4F8D2096B3E0F0C291070063162339109A1840808DDEEBA931D671</vt:lpwstr>
  </property>
  <property fmtid="{D5CDD505-2E9C-101B-9397-08002B2CF9AE}" pid="26" name="Records Class Project">
    <vt:lpwstr>24</vt:lpwstr>
  </property>
  <property fmtid="{D5CDD505-2E9C-101B-9397-08002B2CF9AE}" pid="27" name="Dissemination Limiting Marker">
    <vt:lpwstr>1;#FOUO|955eb6fc-b35a-4808-8aa5-31e514fa3f26</vt:lpwstr>
  </property>
  <property fmtid="{D5CDD505-2E9C-101B-9397-08002B2CF9AE}" pid="28" name="Security Classification">
    <vt:lpwstr>2;#Unclassified|7fa379f4-4aba-4692-ab80-7d39d3a23cf4</vt:lpwstr>
  </property>
  <property fmtid="{D5CDD505-2E9C-101B-9397-08002B2CF9AE}" pid="29" name="_dlc_DocIdItemGuid">
    <vt:lpwstr>8682ef01-7b92-4f15-93f3-bbd6c3f23708</vt:lpwstr>
  </property>
  <property fmtid="{D5CDD505-2E9C-101B-9397-08002B2CF9AE}" pid="30" name="Department Document Type">
    <vt:lpwstr>147;#Briefing|2f94465d-e76c-4889-8a29-56933e521d15</vt:lpwstr>
  </property>
  <property fmtid="{D5CDD505-2E9C-101B-9397-08002B2CF9AE}" pid="31" name="Record Purpose">
    <vt:lpwstr>146;#Project / Program - Routine or Administrative|4b22e6eb-4161-4f58-8f47-a7986e7b362c</vt:lpwstr>
  </property>
  <property fmtid="{D5CDD505-2E9C-101B-9397-08002B2CF9AE}" pid="32" name="GrammarlyDocumentId">
    <vt:lpwstr>54e00d4c9910d99436217bf8753a67ead48b03144156c8942fdcdf23cfb5e44e</vt:lpwstr>
  </property>
  <property fmtid="{D5CDD505-2E9C-101B-9397-08002B2CF9AE}" pid="33" name="Sub-Project">
    <vt:lpwstr>Other</vt:lpwstr>
  </property>
  <property fmtid="{D5CDD505-2E9C-101B-9397-08002B2CF9AE}" pid="34" name="DocumentSetDescription">
    <vt:lpwstr/>
  </property>
  <property fmtid="{D5CDD505-2E9C-101B-9397-08002B2CF9AE}" pid="35" name="xd_ProgID">
    <vt:lpwstr/>
  </property>
  <property fmtid="{D5CDD505-2E9C-101B-9397-08002B2CF9AE}" pid="36" name="ComplianceAssetId">
    <vt:lpwstr/>
  </property>
  <property fmtid="{D5CDD505-2E9C-101B-9397-08002B2CF9AE}" pid="37" name="TemplateUrl">
    <vt:lpwstr/>
  </property>
  <property fmtid="{D5CDD505-2E9C-101B-9397-08002B2CF9AE}" pid="38" name="_ExtendedDescription">
    <vt:lpwstr/>
  </property>
  <property fmtid="{D5CDD505-2E9C-101B-9397-08002B2CF9AE}" pid="39" name="Records Class Comms External">
    <vt:lpwstr>158;#Preparation and Publishing|76d96dc1-2903-4320-aed4-24f4421a2682</vt:lpwstr>
  </property>
  <property fmtid="{D5CDD505-2E9C-101B-9397-08002B2CF9AE}" pid="40" name="xd_Signature">
    <vt:bool>false</vt:bool>
  </property>
  <property fmtid="{D5CDD505-2E9C-101B-9397-08002B2CF9AE}" pid="41" name="f2ccc2d036544b63b99cbcec8aa9ae6a">
    <vt:lpwstr>Project Governance|dcc8b15d-be2a-4ec9-8ccc-52ee5f7fec59</vt:lpwstr>
  </property>
  <property fmtid="{D5CDD505-2E9C-101B-9397-08002B2CF9AE}" pid="42" name="TriggerFlowInfo">
    <vt:lpwstr/>
  </property>
  <property fmtid="{D5CDD505-2E9C-101B-9397-08002B2CF9AE}" pid="43" name="MediaServiceImageTags">
    <vt:lpwstr/>
  </property>
  <property fmtid="{D5CDD505-2E9C-101B-9397-08002B2CF9AE}" pid="44" name="Security_x0020_Classification">
    <vt:lpwstr>2;#Unclassified|7fa379f4-4aba-4692-ab80-7d39d3a23cf4</vt:lpwstr>
  </property>
  <property fmtid="{D5CDD505-2E9C-101B-9397-08002B2CF9AE}" pid="45" name="Record_x0020_Purpose">
    <vt:lpwstr>146;#Project / Program - Routine or Administrative|4b22e6eb-4161-4f58-8f47-a7986e7b362c</vt:lpwstr>
  </property>
  <property fmtid="{D5CDD505-2E9C-101B-9397-08002B2CF9AE}" pid="46" name="Department_x0020_Document_x0020_Type">
    <vt:lpwstr>147;#Briefing|2f94465d-e76c-4889-8a29-56933e521d15</vt:lpwstr>
  </property>
  <property fmtid="{D5CDD505-2E9C-101B-9397-08002B2CF9AE}" pid="47" name="Records_x0020_Class_x0020_Comms_x0020_External">
    <vt:lpwstr>158;#Preparation and Publishing|76d96dc1-2903-4320-aed4-24f4421a2682</vt:lpwstr>
  </property>
  <property fmtid="{D5CDD505-2E9C-101B-9397-08002B2CF9AE}" pid="48" name="Dissemination_x0020_Limiting_x0020_Marker">
    <vt:lpwstr>1;#FOUO|955eb6fc-b35a-4808-8aa5-31e514fa3f26</vt:lpwstr>
  </property>
</Properties>
</file>